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D71" w:rsidRPr="00D15197" w:rsidRDefault="00020C77" w:rsidP="00DC46F5">
      <w:pPr>
        <w:rPr>
          <w:b/>
          <w:sz w:val="28"/>
          <w:szCs w:val="28"/>
        </w:rPr>
      </w:pPr>
      <w:r w:rsidRPr="00D15197">
        <w:rPr>
          <w:b/>
          <w:sz w:val="28"/>
          <w:szCs w:val="28"/>
        </w:rPr>
        <w:t>Personal Demographics Service (PDS)</w:t>
      </w:r>
      <w:r w:rsidR="00706B00" w:rsidRPr="00D15197">
        <w:rPr>
          <w:b/>
          <w:sz w:val="28"/>
          <w:szCs w:val="28"/>
        </w:rPr>
        <w:t xml:space="preserve"> Access Request Brief</w:t>
      </w:r>
    </w:p>
    <w:p w:rsidR="00020C77" w:rsidRPr="00D15197" w:rsidRDefault="00020C77" w:rsidP="00DC46F5"/>
    <w:p w:rsidR="00020C77" w:rsidRPr="00D15197" w:rsidRDefault="00020C77" w:rsidP="00DC46F5"/>
    <w:p w:rsidR="00020C77" w:rsidRPr="00D15197" w:rsidRDefault="000343F8" w:rsidP="00DC46F5">
      <w:r w:rsidRPr="00D15197">
        <w:t xml:space="preserve">This </w:t>
      </w:r>
      <w:r w:rsidR="00A537E6" w:rsidRPr="00D15197">
        <w:t>brief</w:t>
      </w:r>
      <w:r w:rsidRPr="00D15197">
        <w:t xml:space="preserve"> covers:</w:t>
      </w:r>
    </w:p>
    <w:p w:rsidR="000343F8" w:rsidRPr="00D15197" w:rsidRDefault="000343F8" w:rsidP="00DC46F5"/>
    <w:p w:rsidR="000343F8" w:rsidRPr="00D15197" w:rsidRDefault="003F3FF4" w:rsidP="000343F8">
      <w:pPr>
        <w:pStyle w:val="ListParagraph"/>
        <w:numPr>
          <w:ilvl w:val="0"/>
          <w:numId w:val="1"/>
        </w:numPr>
        <w:spacing w:after="120"/>
        <w:ind w:left="288" w:hanging="288"/>
        <w:contextualSpacing w:val="0"/>
      </w:pPr>
      <w:r w:rsidRPr="00D15197">
        <w:t>Use of NHS Numbers</w:t>
      </w:r>
      <w:r w:rsidR="000343F8" w:rsidRPr="00D15197">
        <w:t>.</w:t>
      </w:r>
    </w:p>
    <w:p w:rsidR="003244FD" w:rsidRPr="00D15197" w:rsidRDefault="003244FD" w:rsidP="000343F8">
      <w:pPr>
        <w:pStyle w:val="ListParagraph"/>
        <w:numPr>
          <w:ilvl w:val="0"/>
          <w:numId w:val="1"/>
        </w:numPr>
        <w:spacing w:after="120"/>
        <w:ind w:left="288" w:hanging="288"/>
        <w:contextualSpacing w:val="0"/>
      </w:pPr>
      <w:r w:rsidRPr="00D15197">
        <w:t>Legal basis for organisations accessing the PDS.</w:t>
      </w:r>
    </w:p>
    <w:p w:rsidR="003F3FF4" w:rsidRPr="00D15197" w:rsidRDefault="003F3FF4" w:rsidP="000343F8">
      <w:pPr>
        <w:pStyle w:val="ListParagraph"/>
        <w:numPr>
          <w:ilvl w:val="0"/>
          <w:numId w:val="1"/>
        </w:numPr>
        <w:spacing w:after="120"/>
        <w:ind w:left="288" w:hanging="288"/>
        <w:contextualSpacing w:val="0"/>
      </w:pPr>
      <w:r w:rsidRPr="00D15197">
        <w:t>PDS access methods.</w:t>
      </w:r>
    </w:p>
    <w:p w:rsidR="00EF1069" w:rsidRPr="00D15197" w:rsidRDefault="00EF1069" w:rsidP="000343F8">
      <w:pPr>
        <w:pStyle w:val="ListParagraph"/>
        <w:numPr>
          <w:ilvl w:val="0"/>
          <w:numId w:val="1"/>
        </w:numPr>
        <w:spacing w:after="120"/>
        <w:ind w:left="288" w:hanging="288"/>
        <w:contextualSpacing w:val="0"/>
      </w:pPr>
      <w:r w:rsidRPr="00D15197">
        <w:t>The authorities required for PDS access.</w:t>
      </w:r>
    </w:p>
    <w:p w:rsidR="00F95755" w:rsidRPr="00D15197" w:rsidRDefault="00F95755" w:rsidP="000343F8">
      <w:pPr>
        <w:pStyle w:val="ListParagraph"/>
        <w:numPr>
          <w:ilvl w:val="0"/>
          <w:numId w:val="1"/>
        </w:numPr>
        <w:spacing w:after="120"/>
        <w:ind w:left="288" w:hanging="288"/>
        <w:contextualSpacing w:val="0"/>
      </w:pPr>
      <w:r w:rsidRPr="00D15197">
        <w:t>Secure network connection</w:t>
      </w:r>
      <w:r w:rsidR="00605CD4" w:rsidRPr="00D15197">
        <w:t xml:space="preserve"> requirements</w:t>
      </w:r>
      <w:r w:rsidRPr="00D15197">
        <w:t>.</w:t>
      </w:r>
    </w:p>
    <w:p w:rsidR="0070135E" w:rsidRPr="00D15197" w:rsidRDefault="0070135E" w:rsidP="000343F8">
      <w:pPr>
        <w:pStyle w:val="ListParagraph"/>
        <w:numPr>
          <w:ilvl w:val="0"/>
          <w:numId w:val="1"/>
        </w:numPr>
        <w:spacing w:after="120"/>
        <w:ind w:left="288" w:hanging="288"/>
        <w:contextualSpacing w:val="0"/>
      </w:pPr>
      <w:r w:rsidRPr="00D15197">
        <w:t>Cloud storage considerations</w:t>
      </w:r>
    </w:p>
    <w:p w:rsidR="000343F8" w:rsidRPr="00D15197" w:rsidRDefault="003244FD" w:rsidP="000343F8">
      <w:pPr>
        <w:pStyle w:val="ListParagraph"/>
        <w:numPr>
          <w:ilvl w:val="0"/>
          <w:numId w:val="1"/>
        </w:numPr>
        <w:spacing w:after="120"/>
        <w:ind w:left="288" w:hanging="288"/>
        <w:contextualSpacing w:val="0"/>
      </w:pPr>
      <w:r w:rsidRPr="00D15197">
        <w:t>A</w:t>
      </w:r>
      <w:r w:rsidR="00F263F8" w:rsidRPr="00D15197">
        <w:t>ccess request</w:t>
      </w:r>
      <w:r w:rsidR="000343F8" w:rsidRPr="00D15197">
        <w:t xml:space="preserve"> process.</w:t>
      </w:r>
    </w:p>
    <w:p w:rsidR="0070135E" w:rsidRPr="00D15197" w:rsidRDefault="0070135E" w:rsidP="000343F8">
      <w:pPr>
        <w:pStyle w:val="ListParagraph"/>
        <w:numPr>
          <w:ilvl w:val="0"/>
          <w:numId w:val="1"/>
        </w:numPr>
        <w:spacing w:after="120"/>
        <w:ind w:left="288" w:hanging="288"/>
        <w:contextualSpacing w:val="0"/>
      </w:pPr>
      <w:r w:rsidRPr="00D15197">
        <w:t>Legal agreements</w:t>
      </w:r>
    </w:p>
    <w:p w:rsidR="000343F8" w:rsidRPr="00D15197" w:rsidRDefault="003244FD" w:rsidP="000343F8">
      <w:pPr>
        <w:pStyle w:val="ListParagraph"/>
        <w:numPr>
          <w:ilvl w:val="0"/>
          <w:numId w:val="1"/>
        </w:numPr>
        <w:spacing w:after="120"/>
        <w:ind w:left="288" w:hanging="288"/>
        <w:contextualSpacing w:val="0"/>
      </w:pPr>
      <w:r w:rsidRPr="00D15197">
        <w:t>I</w:t>
      </w:r>
      <w:r w:rsidR="000343F8" w:rsidRPr="00D15197">
        <w:t>nitial information needed by NHS Digital to consider a request.</w:t>
      </w:r>
    </w:p>
    <w:p w:rsidR="000343F8" w:rsidRPr="00D15197" w:rsidRDefault="000343F8" w:rsidP="00DC46F5"/>
    <w:p w:rsidR="003F3FF4" w:rsidRPr="00D15197" w:rsidRDefault="003F3FF4" w:rsidP="00DC46F5"/>
    <w:p w:rsidR="003F3FF4" w:rsidRPr="00D15197" w:rsidRDefault="003F3FF4" w:rsidP="00DC46F5">
      <w:pPr>
        <w:rPr>
          <w:b/>
          <w:sz w:val="28"/>
          <w:szCs w:val="28"/>
        </w:rPr>
      </w:pPr>
      <w:r w:rsidRPr="00D15197">
        <w:rPr>
          <w:b/>
          <w:sz w:val="28"/>
          <w:szCs w:val="28"/>
        </w:rPr>
        <w:t>Use of NHS Numbers</w:t>
      </w:r>
    </w:p>
    <w:p w:rsidR="003F3FF4" w:rsidRPr="00D15197" w:rsidRDefault="003F3FF4" w:rsidP="00DC46F5"/>
    <w:p w:rsidR="003F3FF4" w:rsidRPr="00D15197" w:rsidRDefault="003F3FF4" w:rsidP="003F3FF4">
      <w:pPr>
        <w:rPr>
          <w:rFonts w:cs="Arial"/>
          <w:color w:val="000000" w:themeColor="text1"/>
          <w:szCs w:val="24"/>
          <w:lang w:val="en-US"/>
        </w:rPr>
      </w:pPr>
      <w:r w:rsidRPr="00D15197">
        <w:rPr>
          <w:rFonts w:cs="Arial"/>
          <w:color w:val="000000" w:themeColor="text1"/>
          <w:szCs w:val="24"/>
        </w:rPr>
        <w:t xml:space="preserve">Longstanding Department of Health (DH) policy directs health and care organisations to use the NHS Number to identify, communicate with, and link records of patients. The most recent and explicit example is the Health and Social Care (Safety and Quality) Act 2015, which, </w:t>
      </w:r>
      <w:r w:rsidRPr="00D15197">
        <w:rPr>
          <w:rFonts w:cs="Arial"/>
          <w:i/>
          <w:color w:val="000000" w:themeColor="text1"/>
          <w:szCs w:val="24"/>
        </w:rPr>
        <w:t>inter alia</w:t>
      </w:r>
      <w:r w:rsidRPr="00D15197">
        <w:rPr>
          <w:rFonts w:cs="Arial"/>
          <w:color w:val="000000" w:themeColor="text1"/>
          <w:szCs w:val="24"/>
        </w:rPr>
        <w:t xml:space="preserve">, mandates the use of a single consistent identifier across health and </w:t>
      </w:r>
      <w:r w:rsidR="00D320D8" w:rsidRPr="00D15197">
        <w:rPr>
          <w:rFonts w:cs="Arial"/>
          <w:color w:val="000000" w:themeColor="text1"/>
          <w:szCs w:val="24"/>
        </w:rPr>
        <w:t xml:space="preserve">social </w:t>
      </w:r>
      <w:r w:rsidRPr="00D15197">
        <w:rPr>
          <w:rFonts w:cs="Arial"/>
          <w:color w:val="000000" w:themeColor="text1"/>
          <w:szCs w:val="24"/>
        </w:rPr>
        <w:t xml:space="preserve">care settings; the single identifier is defined in subsequent regulations as the NHS Number.  </w:t>
      </w:r>
      <w:r w:rsidRPr="00D15197">
        <w:rPr>
          <w:rFonts w:cs="Arial"/>
          <w:color w:val="000000" w:themeColor="text1"/>
          <w:szCs w:val="24"/>
          <w:lang w:val="en-US"/>
        </w:rPr>
        <w:t>Additionally, the continued and increasing focus on integrated care, emerging generally and within the specific commitments of the National Information Board (NIB), are dependent on the availability and use of shared identifiers.</w:t>
      </w:r>
    </w:p>
    <w:p w:rsidR="003F3FF4" w:rsidRPr="00D15197" w:rsidRDefault="003F3FF4" w:rsidP="003F3FF4">
      <w:pPr>
        <w:rPr>
          <w:rFonts w:cs="Arial"/>
          <w:color w:val="000000" w:themeColor="text1"/>
          <w:szCs w:val="24"/>
          <w:lang w:val="en-US"/>
        </w:rPr>
      </w:pPr>
    </w:p>
    <w:p w:rsidR="003F3FF4" w:rsidRPr="00D15197" w:rsidRDefault="003F3FF4" w:rsidP="003F3FF4">
      <w:pPr>
        <w:rPr>
          <w:rFonts w:cs="Arial"/>
          <w:color w:val="000000" w:themeColor="text1"/>
          <w:szCs w:val="24"/>
          <w:lang w:val="en-US"/>
        </w:rPr>
      </w:pPr>
      <w:r w:rsidRPr="00D15197">
        <w:rPr>
          <w:rFonts w:cs="Arial"/>
          <w:color w:val="000000" w:themeColor="text1"/>
          <w:szCs w:val="24"/>
          <w:lang w:val="en-US"/>
        </w:rPr>
        <w:t>Whilst the use of the NHS Number across health and social care settings is therefore well-established in principle and in practice, NHS Digital has specific responsibilities to ensure that access to, and disclosure of, the data that it holds on individuals is consistent with its specific legal and other responsibilities, as well as complying with general requirements relating to data protection and the processing of personal data.</w:t>
      </w:r>
    </w:p>
    <w:p w:rsidR="003F3FF4" w:rsidRPr="00D15197" w:rsidRDefault="003F3FF4" w:rsidP="00DC46F5"/>
    <w:p w:rsidR="000343F8" w:rsidRPr="00D15197" w:rsidRDefault="000343F8" w:rsidP="00DC46F5"/>
    <w:p w:rsidR="003244FD" w:rsidRPr="00D15197" w:rsidRDefault="003244FD" w:rsidP="00DC46F5">
      <w:pPr>
        <w:rPr>
          <w:b/>
          <w:sz w:val="28"/>
          <w:szCs w:val="28"/>
        </w:rPr>
      </w:pPr>
      <w:r w:rsidRPr="00D15197">
        <w:rPr>
          <w:b/>
          <w:sz w:val="28"/>
          <w:szCs w:val="28"/>
        </w:rPr>
        <w:t>Legal Basis for PDS Access</w:t>
      </w:r>
    </w:p>
    <w:p w:rsidR="003244FD" w:rsidRPr="00D15197" w:rsidRDefault="003244FD" w:rsidP="00DC46F5"/>
    <w:p w:rsidR="00FF0532" w:rsidRPr="00D15197" w:rsidRDefault="003244FD" w:rsidP="00DC46F5">
      <w:pPr>
        <w:rPr>
          <w:rFonts w:cs="Arial"/>
          <w:color w:val="000000" w:themeColor="text1"/>
          <w:szCs w:val="24"/>
          <w:lang w:val="en-US"/>
        </w:rPr>
      </w:pPr>
      <w:r w:rsidRPr="00D15197">
        <w:t xml:space="preserve">Being a public body NHS Digital is governed by legislation.  It can release data to other organisations </w:t>
      </w:r>
      <w:r w:rsidR="00D87E64" w:rsidRPr="00D15197">
        <w:t xml:space="preserve">- either public or private - </w:t>
      </w:r>
      <w:r w:rsidRPr="00D15197">
        <w:t xml:space="preserve">only on the basis of the Health and Social Care Act 2012, and some other relevant legislation.  This legal basis is determined by the purpose for which the data is required.  If the purpose is </w:t>
      </w:r>
      <w:r w:rsidR="00D87E64" w:rsidRPr="00D15197">
        <w:t xml:space="preserve">operational, </w:t>
      </w:r>
      <w:r w:rsidRPr="00D15197">
        <w:rPr>
          <w:rFonts w:cs="Arial"/>
          <w:color w:val="000000" w:themeColor="text1"/>
          <w:szCs w:val="24"/>
          <w:lang w:val="en-US"/>
        </w:rPr>
        <w:t>direct care</w:t>
      </w:r>
      <w:r w:rsidR="00FF0532" w:rsidRPr="00D15197">
        <w:rPr>
          <w:rStyle w:val="FootnoteReference"/>
          <w:rFonts w:cs="Arial"/>
          <w:b/>
          <w:szCs w:val="24"/>
        </w:rPr>
        <w:footnoteReference w:id="1"/>
      </w:r>
      <w:r w:rsidR="00FF0532" w:rsidRPr="00D15197">
        <w:rPr>
          <w:rFonts w:cs="Arial"/>
          <w:color w:val="000000" w:themeColor="text1"/>
          <w:szCs w:val="24"/>
          <w:lang w:val="en-US"/>
        </w:rPr>
        <w:t xml:space="preserve"> - ie, the delivery of care to patients by care providers - then there is a clear legal basis.</w:t>
      </w:r>
    </w:p>
    <w:p w:rsidR="00FF0532" w:rsidRPr="00D15197" w:rsidRDefault="00FF0532" w:rsidP="00DC46F5">
      <w:pPr>
        <w:rPr>
          <w:rFonts w:cs="Arial"/>
          <w:color w:val="000000" w:themeColor="text1"/>
          <w:szCs w:val="24"/>
          <w:lang w:val="en-US"/>
        </w:rPr>
      </w:pPr>
    </w:p>
    <w:p w:rsidR="00FF0532" w:rsidRPr="00D15197" w:rsidRDefault="00FF0532" w:rsidP="00DC46F5">
      <w:pPr>
        <w:rPr>
          <w:rFonts w:cs="Arial"/>
          <w:color w:val="000000" w:themeColor="text1"/>
          <w:szCs w:val="24"/>
          <w:lang w:val="en-US"/>
        </w:rPr>
      </w:pPr>
      <w:r w:rsidRPr="00D15197">
        <w:rPr>
          <w:rFonts w:cs="Arial"/>
          <w:color w:val="000000" w:themeColor="text1"/>
          <w:szCs w:val="24"/>
          <w:lang w:val="en-US"/>
        </w:rPr>
        <w:t>For any purpose other than direct care, then the legal basis must be established</w:t>
      </w:r>
      <w:r w:rsidR="00D320D8" w:rsidRPr="00D15197">
        <w:rPr>
          <w:rFonts w:cs="Arial"/>
          <w:color w:val="000000" w:themeColor="text1"/>
          <w:szCs w:val="24"/>
          <w:lang w:val="en-US"/>
        </w:rPr>
        <w:t xml:space="preserve"> by reference to the Health and Social Care Act 2012</w:t>
      </w:r>
      <w:r w:rsidRPr="00D15197">
        <w:rPr>
          <w:rFonts w:cs="Arial"/>
          <w:color w:val="000000" w:themeColor="text1"/>
          <w:szCs w:val="24"/>
          <w:lang w:val="en-US"/>
        </w:rPr>
        <w:t>.</w:t>
      </w:r>
    </w:p>
    <w:p w:rsidR="00FF0532" w:rsidRPr="00D15197" w:rsidRDefault="00FF0532" w:rsidP="00DC46F5">
      <w:pPr>
        <w:rPr>
          <w:rFonts w:cs="Arial"/>
          <w:color w:val="000000" w:themeColor="text1"/>
          <w:szCs w:val="24"/>
          <w:lang w:val="en-US"/>
        </w:rPr>
      </w:pPr>
    </w:p>
    <w:p w:rsidR="00FF0532" w:rsidRPr="00D15197" w:rsidRDefault="00FF0532" w:rsidP="00DC46F5">
      <w:pPr>
        <w:rPr>
          <w:rFonts w:cs="Arial"/>
          <w:color w:val="000000" w:themeColor="text1"/>
          <w:szCs w:val="24"/>
          <w:lang w:val="en-US"/>
        </w:rPr>
      </w:pPr>
      <w:r w:rsidRPr="00D15197">
        <w:rPr>
          <w:rFonts w:cs="Arial"/>
          <w:color w:val="000000" w:themeColor="text1"/>
          <w:szCs w:val="24"/>
          <w:lang w:val="en-US"/>
        </w:rPr>
        <w:t>For public bodies requesting data, the purposes and the legal bases must clearly relate to the statutory functions of those bodies, and be stated in the access request.</w:t>
      </w:r>
    </w:p>
    <w:p w:rsidR="00FF0532" w:rsidRPr="00D15197" w:rsidRDefault="00FF0532" w:rsidP="00DC46F5">
      <w:pPr>
        <w:rPr>
          <w:rFonts w:cs="Arial"/>
          <w:color w:val="000000" w:themeColor="text1"/>
          <w:szCs w:val="24"/>
          <w:lang w:val="en-US"/>
        </w:rPr>
      </w:pPr>
    </w:p>
    <w:p w:rsidR="00FF0532" w:rsidRPr="00D15197" w:rsidRDefault="00FF0532" w:rsidP="00DC46F5">
      <w:pPr>
        <w:rPr>
          <w:rFonts w:cs="Arial"/>
          <w:color w:val="000000" w:themeColor="text1"/>
          <w:szCs w:val="24"/>
          <w:lang w:val="en-US"/>
        </w:rPr>
      </w:pPr>
      <w:r w:rsidRPr="00D15197">
        <w:rPr>
          <w:rFonts w:cs="Arial"/>
          <w:color w:val="000000" w:themeColor="text1"/>
          <w:szCs w:val="24"/>
          <w:lang w:val="en-US"/>
        </w:rPr>
        <w:t xml:space="preserve">NHS Digital also releases bulk data, generally </w:t>
      </w:r>
      <w:proofErr w:type="spellStart"/>
      <w:r w:rsidRPr="00D15197">
        <w:rPr>
          <w:rFonts w:cs="Arial"/>
          <w:color w:val="000000" w:themeColor="text1"/>
          <w:szCs w:val="24"/>
          <w:lang w:val="en-US"/>
        </w:rPr>
        <w:t>pseudonimised</w:t>
      </w:r>
      <w:proofErr w:type="spellEnd"/>
      <w:r w:rsidRPr="00D15197">
        <w:rPr>
          <w:rFonts w:cs="Arial"/>
          <w:color w:val="000000" w:themeColor="text1"/>
          <w:szCs w:val="24"/>
          <w:lang w:val="en-US"/>
        </w:rPr>
        <w:t xml:space="preserve">, </w:t>
      </w:r>
      <w:r w:rsidR="00193F0E" w:rsidRPr="00D15197">
        <w:rPr>
          <w:rFonts w:cs="Arial"/>
          <w:color w:val="000000" w:themeColor="text1"/>
          <w:szCs w:val="24"/>
          <w:lang w:val="en-US"/>
        </w:rPr>
        <w:t xml:space="preserve">for research and analytics purposes, </w:t>
      </w:r>
      <w:r w:rsidRPr="00D15197">
        <w:rPr>
          <w:rFonts w:cs="Arial"/>
          <w:color w:val="000000" w:themeColor="text1"/>
          <w:szCs w:val="24"/>
          <w:lang w:val="en-US"/>
        </w:rPr>
        <w:t xml:space="preserve">on the basis of the 2012 Act.  However, such releases are managed by the </w:t>
      </w:r>
      <w:hyperlink r:id="rId11" w:history="1">
        <w:r w:rsidRPr="001D435A">
          <w:rPr>
            <w:rStyle w:val="Hyperlink"/>
            <w:rFonts w:cs="Arial"/>
            <w:szCs w:val="24"/>
            <w:lang w:val="en-US"/>
          </w:rPr>
          <w:t>NHS Digital Data Access Request Service</w:t>
        </w:r>
      </w:hyperlink>
      <w:r w:rsidRPr="00D15197">
        <w:rPr>
          <w:rFonts w:cs="Arial"/>
          <w:color w:val="000000" w:themeColor="text1"/>
          <w:szCs w:val="24"/>
          <w:lang w:val="en-US"/>
        </w:rPr>
        <w:t xml:space="preserve"> (DARS) process, </w:t>
      </w:r>
      <w:r w:rsidR="00193F0E" w:rsidRPr="00D15197">
        <w:rPr>
          <w:rFonts w:cs="Arial"/>
          <w:color w:val="000000" w:themeColor="text1"/>
          <w:szCs w:val="24"/>
          <w:lang w:val="en-US"/>
        </w:rPr>
        <w:t xml:space="preserve">and </w:t>
      </w:r>
      <w:r w:rsidRPr="00D15197">
        <w:rPr>
          <w:rFonts w:cs="Arial"/>
          <w:color w:val="000000" w:themeColor="text1"/>
          <w:szCs w:val="24"/>
          <w:u w:val="single"/>
          <w:lang w:val="en-US"/>
        </w:rPr>
        <w:t>not</w:t>
      </w:r>
      <w:r w:rsidRPr="00D15197">
        <w:rPr>
          <w:rFonts w:cs="Arial"/>
          <w:color w:val="000000" w:themeColor="text1"/>
          <w:szCs w:val="24"/>
          <w:lang w:val="en-US"/>
        </w:rPr>
        <w:t xml:space="preserve"> by the process described in this document.</w:t>
      </w:r>
    </w:p>
    <w:p w:rsidR="00D1257B" w:rsidRPr="00D15197" w:rsidRDefault="00D1257B" w:rsidP="00DC46F5">
      <w:pPr>
        <w:rPr>
          <w:rFonts w:cs="Arial"/>
          <w:color w:val="000000" w:themeColor="text1"/>
          <w:szCs w:val="24"/>
          <w:lang w:val="en-US"/>
        </w:rPr>
      </w:pPr>
    </w:p>
    <w:p w:rsidR="00122C05" w:rsidRPr="00D15197" w:rsidRDefault="00122C05" w:rsidP="00122C05">
      <w:r w:rsidRPr="00D15197">
        <w:t xml:space="preserve">Note that in the case of PDS access for the Child Protection-Information Sharing (CP-IS) purpose, </w:t>
      </w:r>
      <w:r>
        <w:rPr>
          <w:rFonts w:cs="Arial"/>
          <w:szCs w:val="24"/>
        </w:rPr>
        <w:t>t</w:t>
      </w:r>
      <w:r w:rsidRPr="009F17C6">
        <w:rPr>
          <w:rFonts w:cs="Arial"/>
          <w:szCs w:val="24"/>
        </w:rPr>
        <w:t xml:space="preserve">he driver for sharing information is child protection and direct </w:t>
      </w:r>
      <w:proofErr w:type="gramStart"/>
      <w:r w:rsidRPr="009F17C6">
        <w:rPr>
          <w:rFonts w:cs="Arial"/>
          <w:szCs w:val="24"/>
        </w:rPr>
        <w:t>care</w:t>
      </w:r>
      <w:r>
        <w:rPr>
          <w:rFonts w:cs="Arial"/>
          <w:szCs w:val="24"/>
        </w:rPr>
        <w:t xml:space="preserve">;  </w:t>
      </w:r>
      <w:r w:rsidRPr="009F17C6">
        <w:rPr>
          <w:rFonts w:cs="Arial"/>
          <w:szCs w:val="24"/>
        </w:rPr>
        <w:t>as</w:t>
      </w:r>
      <w:proofErr w:type="gramEnd"/>
      <w:r w:rsidRPr="009F17C6">
        <w:rPr>
          <w:rFonts w:cs="Arial"/>
          <w:szCs w:val="24"/>
        </w:rPr>
        <w:t xml:space="preserve"> such a data sharing agreement is not required. </w:t>
      </w:r>
      <w:r>
        <w:rPr>
          <w:rFonts w:cs="Arial"/>
          <w:szCs w:val="24"/>
        </w:rPr>
        <w:t xml:space="preserve"> </w:t>
      </w:r>
      <w:r w:rsidRPr="00D15197">
        <w:t xml:space="preserve">However, these are strictly </w:t>
      </w:r>
      <w:r w:rsidRPr="00D15197">
        <w:rPr>
          <w:u w:val="single"/>
        </w:rPr>
        <w:t>only</w:t>
      </w:r>
      <w:r w:rsidRPr="00D15197">
        <w:t xml:space="preserve"> for the cohort of patients who are the subject of child protection measures, and not for any other cohort of patients.  CP-IS is </w:t>
      </w:r>
      <w:r w:rsidRPr="00D15197">
        <w:rPr>
          <w:u w:val="single"/>
        </w:rPr>
        <w:t>not</w:t>
      </w:r>
      <w:r w:rsidRPr="00D15197">
        <w:t xml:space="preserve"> covered in this document, and any existing or planned CP-IS deployments are </w:t>
      </w:r>
      <w:r w:rsidRPr="00D15197">
        <w:rPr>
          <w:u w:val="single"/>
        </w:rPr>
        <w:t>not</w:t>
      </w:r>
      <w:r w:rsidRPr="00D15197">
        <w:t xml:space="preserve"> affected by this process.</w:t>
      </w:r>
    </w:p>
    <w:p w:rsidR="00AF4A1F" w:rsidRPr="00D15197" w:rsidRDefault="00AF4A1F" w:rsidP="00AF4A1F"/>
    <w:p w:rsidR="00FF0532" w:rsidRPr="00D15197" w:rsidRDefault="00FF0532" w:rsidP="00DC46F5"/>
    <w:p w:rsidR="00FF0532" w:rsidRPr="00D15197" w:rsidRDefault="00FF0532" w:rsidP="00DC46F5">
      <w:pPr>
        <w:rPr>
          <w:b/>
          <w:sz w:val="28"/>
          <w:szCs w:val="28"/>
        </w:rPr>
      </w:pPr>
      <w:r w:rsidRPr="00D15197">
        <w:rPr>
          <w:b/>
          <w:sz w:val="28"/>
          <w:szCs w:val="28"/>
        </w:rPr>
        <w:t>PDS Access Methods</w:t>
      </w:r>
    </w:p>
    <w:p w:rsidR="00FF0532" w:rsidRPr="00D15197" w:rsidRDefault="00FF0532" w:rsidP="00DC46F5"/>
    <w:p w:rsidR="00FF0532" w:rsidRPr="00D15197" w:rsidRDefault="00FF0532" w:rsidP="00DC46F5">
      <w:pPr>
        <w:rPr>
          <w:rFonts w:cs="Arial"/>
          <w:color w:val="000000" w:themeColor="text1"/>
          <w:szCs w:val="24"/>
        </w:rPr>
      </w:pPr>
      <w:r w:rsidRPr="00D15197">
        <w:rPr>
          <w:rFonts w:cs="Arial"/>
          <w:color w:val="000000" w:themeColor="text1"/>
          <w:szCs w:val="24"/>
        </w:rPr>
        <w:t>The PDS is the national electronic database of NHS patient demographic data,</w:t>
      </w:r>
      <w:r w:rsidR="004E7029" w:rsidRPr="00D15197">
        <w:rPr>
          <w:rFonts w:cs="Arial"/>
          <w:color w:val="000000" w:themeColor="text1"/>
          <w:szCs w:val="24"/>
        </w:rPr>
        <w:t xml:space="preserve"> such as name, address, date </w:t>
      </w:r>
      <w:r w:rsidRPr="00D15197">
        <w:rPr>
          <w:rFonts w:cs="Arial"/>
          <w:color w:val="000000" w:themeColor="text1"/>
          <w:szCs w:val="24"/>
        </w:rPr>
        <w:t>of birth and NHS number.  Therefore it supports quick and accurate identification of a patient, contact and communication with a patient, and linkage of data and records across care settings and information systems.</w:t>
      </w:r>
    </w:p>
    <w:p w:rsidR="00FF0532" w:rsidRPr="00D15197" w:rsidRDefault="00FF0532" w:rsidP="00DC46F5">
      <w:pPr>
        <w:rPr>
          <w:rFonts w:cs="Arial"/>
          <w:color w:val="000000" w:themeColor="text1"/>
          <w:szCs w:val="24"/>
        </w:rPr>
      </w:pPr>
    </w:p>
    <w:p w:rsidR="00FF0532" w:rsidRPr="00D15197" w:rsidRDefault="00FF0532" w:rsidP="00DC46F5">
      <w:r w:rsidRPr="00D15197">
        <w:rPr>
          <w:rFonts w:cs="Arial"/>
          <w:color w:val="000000" w:themeColor="text1"/>
          <w:szCs w:val="24"/>
        </w:rPr>
        <w:t>The primary purpose of the PDS is the direct care purpose, although data is also supplied for secondary uses through the DARS process.</w:t>
      </w:r>
    </w:p>
    <w:p w:rsidR="00FF0532" w:rsidRPr="00D15197" w:rsidRDefault="00FF0532" w:rsidP="00DC46F5"/>
    <w:p w:rsidR="00297DB8" w:rsidRPr="00D15197" w:rsidRDefault="00297DB8" w:rsidP="00297DB8">
      <w:pPr>
        <w:rPr>
          <w:rFonts w:cs="Arial"/>
          <w:color w:val="000000" w:themeColor="text1"/>
          <w:szCs w:val="24"/>
          <w:lang w:val="en-US"/>
        </w:rPr>
      </w:pPr>
      <w:r w:rsidRPr="00D15197">
        <w:rPr>
          <w:rFonts w:cs="Arial"/>
          <w:color w:val="000000" w:themeColor="text1"/>
          <w:szCs w:val="24"/>
          <w:lang w:val="en-US"/>
        </w:rPr>
        <w:t>The embedded presentation below gives an overview of the PDS and its interactions.</w:t>
      </w:r>
    </w:p>
    <w:p w:rsidR="00297DB8" w:rsidRPr="00D15197" w:rsidRDefault="00297DB8" w:rsidP="00297DB8">
      <w:pPr>
        <w:rPr>
          <w:rFonts w:cs="Arial"/>
          <w:color w:val="000000" w:themeColor="text1"/>
          <w:szCs w:val="24"/>
          <w:lang w:val="en-US"/>
        </w:rPr>
      </w:pPr>
    </w:p>
    <w:p w:rsidR="00297DB8" w:rsidRPr="00D15197" w:rsidRDefault="00297DB8" w:rsidP="00297DB8">
      <w:r w:rsidRPr="00D15197">
        <w:rPr>
          <w:rFonts w:cs="Arial"/>
          <w:color w:val="000000" w:themeColor="text1"/>
          <w:szCs w:val="24"/>
          <w:lang w:val="en-US"/>
        </w:rPr>
        <w:tab/>
      </w:r>
      <w:r w:rsidR="00D0783A">
        <w:rPr>
          <w:rFonts w:cs="Arial"/>
          <w:color w:val="000000" w:themeColor="text1"/>
          <w:szCs w:val="24"/>
          <w:lang w:val="en-US"/>
        </w:rPr>
        <w:object w:dxaOrig="1487" w:dyaOrig="993" w14:anchorId="38CEE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35pt;height:49.7pt" o:ole="">
            <v:imagedata r:id="rId12" o:title=""/>
          </v:shape>
          <o:OLEObject Type="Embed" ProgID="AcroExch.Document.DC" ShapeID="_x0000_i1025" DrawAspect="Icon" ObjectID="_1594027168" r:id="rId13"/>
        </w:object>
      </w:r>
    </w:p>
    <w:p w:rsidR="00297DB8" w:rsidRPr="00D15197" w:rsidRDefault="00297DB8" w:rsidP="00297DB8"/>
    <w:p w:rsidR="00FF0532" w:rsidRPr="00D15197" w:rsidRDefault="00FF0532" w:rsidP="00EF57BE">
      <w:r w:rsidRPr="00D15197">
        <w:t xml:space="preserve">In summary the access methods </w:t>
      </w:r>
      <w:r w:rsidRPr="00D15197">
        <w:rPr>
          <w:u w:val="single"/>
        </w:rPr>
        <w:t>for direct care only</w:t>
      </w:r>
      <w:r w:rsidRPr="00D15197">
        <w:t xml:space="preserve"> are:</w:t>
      </w:r>
    </w:p>
    <w:p w:rsidR="00FF0532" w:rsidRPr="00D15197" w:rsidRDefault="00FF0532" w:rsidP="00EF57BE"/>
    <w:p w:rsidR="00FF0532" w:rsidRPr="00D15197" w:rsidRDefault="00FF0532" w:rsidP="00984D45">
      <w:pPr>
        <w:pStyle w:val="ListParagraph"/>
        <w:numPr>
          <w:ilvl w:val="0"/>
          <w:numId w:val="2"/>
        </w:numPr>
        <w:spacing w:after="120"/>
        <w:ind w:left="576" w:hanging="288"/>
        <w:contextualSpacing w:val="0"/>
      </w:pPr>
      <w:r w:rsidRPr="00D15197">
        <w:rPr>
          <w:u w:val="single"/>
        </w:rPr>
        <w:t>Full Spine Integration</w:t>
      </w:r>
      <w:r w:rsidRPr="00D15197">
        <w:t xml:space="preserve">:  This requires a secure network connection and </w:t>
      </w:r>
      <w:hyperlink r:id="rId14" w:history="1">
        <w:r w:rsidRPr="00D15197">
          <w:rPr>
            <w:rStyle w:val="Hyperlink"/>
          </w:rPr>
          <w:t>smartcards</w:t>
        </w:r>
      </w:hyperlink>
      <w:r w:rsidRPr="00D15197">
        <w:t>, because such systems have advanced search capabilities and can update the PDS.</w:t>
      </w:r>
    </w:p>
    <w:p w:rsidR="00FF0532" w:rsidRPr="00D15197" w:rsidRDefault="00FF0532" w:rsidP="00984D45">
      <w:pPr>
        <w:pStyle w:val="ListParagraph"/>
        <w:numPr>
          <w:ilvl w:val="0"/>
          <w:numId w:val="2"/>
        </w:numPr>
        <w:spacing w:after="120"/>
        <w:ind w:left="576" w:hanging="288"/>
        <w:contextualSpacing w:val="0"/>
      </w:pPr>
      <w:r w:rsidRPr="00D15197">
        <w:rPr>
          <w:u w:val="single"/>
        </w:rPr>
        <w:t xml:space="preserve">Partial Spine </w:t>
      </w:r>
      <w:r w:rsidR="005C2039" w:rsidRPr="00D15197">
        <w:rPr>
          <w:u w:val="single"/>
        </w:rPr>
        <w:t>Integration</w:t>
      </w:r>
      <w:r w:rsidRPr="00D15197">
        <w:t>:  This also requires a secure network connection, but smartcards are not required, because the interactions with the PDS are as for the SMSP interactions (see below).</w:t>
      </w:r>
    </w:p>
    <w:p w:rsidR="00FF0532" w:rsidRPr="00D15197" w:rsidRDefault="00FF0532" w:rsidP="00984D45">
      <w:pPr>
        <w:pStyle w:val="ListParagraph"/>
        <w:numPr>
          <w:ilvl w:val="0"/>
          <w:numId w:val="2"/>
        </w:numPr>
        <w:spacing w:after="120"/>
        <w:ind w:left="576" w:hanging="288"/>
        <w:contextualSpacing w:val="0"/>
      </w:pPr>
      <w:r w:rsidRPr="00D15197">
        <w:rPr>
          <w:u w:val="single"/>
        </w:rPr>
        <w:t>Spine Mini Service Provider (SMSP)</w:t>
      </w:r>
      <w:r w:rsidRPr="00D15197">
        <w:t>:  This is a middleware application that presents a simpler interface to local systems than that provided by Spine integration, but with more limited access.  It requires a secure network connection, but smartcards are not required, because only exact matches to trace requests are returned, and updates to the PDS are not possible.</w:t>
      </w:r>
    </w:p>
    <w:p w:rsidR="00FF0532" w:rsidRPr="00D15197" w:rsidRDefault="00FF0532" w:rsidP="00984D45">
      <w:pPr>
        <w:pStyle w:val="ListParagraph"/>
        <w:numPr>
          <w:ilvl w:val="0"/>
          <w:numId w:val="2"/>
        </w:numPr>
        <w:spacing w:after="120"/>
        <w:ind w:left="576" w:hanging="288"/>
        <w:contextualSpacing w:val="0"/>
      </w:pPr>
      <w:r w:rsidRPr="00D15197">
        <w:rPr>
          <w:u w:val="single"/>
        </w:rPr>
        <w:t>Summary Care Record Application (SCRa)</w:t>
      </w:r>
      <w:r w:rsidRPr="00D15197">
        <w:t>:  This requires a secure network connection, and provides online, real time access and PDS update capabilities through a web portal, so smartcards are required.</w:t>
      </w:r>
    </w:p>
    <w:p w:rsidR="00FF0532" w:rsidRPr="00D15197" w:rsidRDefault="00FF0532" w:rsidP="00984D45">
      <w:pPr>
        <w:pStyle w:val="ListParagraph"/>
        <w:numPr>
          <w:ilvl w:val="0"/>
          <w:numId w:val="2"/>
        </w:numPr>
        <w:spacing w:after="120"/>
        <w:ind w:left="576" w:hanging="288"/>
        <w:contextualSpacing w:val="0"/>
      </w:pPr>
      <w:r w:rsidRPr="00D15197">
        <w:rPr>
          <w:u w:val="single"/>
        </w:rPr>
        <w:t>Demographics Batch Service (DBS)</w:t>
      </w:r>
      <w:r w:rsidRPr="00D15197">
        <w:t>:  This requires a secure network connection.  It is an offline service, and provides batch responses to batch trace requests, so smartcards are not required (24 hour response SLA).</w:t>
      </w:r>
    </w:p>
    <w:p w:rsidR="00FF0532" w:rsidRPr="00D15197" w:rsidRDefault="00FF0532" w:rsidP="00984D45">
      <w:pPr>
        <w:pStyle w:val="ListParagraph"/>
        <w:numPr>
          <w:ilvl w:val="0"/>
          <w:numId w:val="2"/>
        </w:numPr>
        <w:spacing w:after="120"/>
        <w:ind w:left="576" w:hanging="288"/>
        <w:contextualSpacing w:val="0"/>
      </w:pPr>
      <w:r w:rsidRPr="00D15197">
        <w:rPr>
          <w:u w:val="single"/>
        </w:rPr>
        <w:t>DBS Bureau</w:t>
      </w:r>
      <w:r w:rsidR="004B3AC2" w:rsidRPr="00D15197">
        <w:rPr>
          <w:u w:val="single"/>
        </w:rPr>
        <w:t xml:space="preserve"> (DBSB)</w:t>
      </w:r>
      <w:r w:rsidRPr="00D15197">
        <w:t>:  This is operated by the PDS National Back Office (NBO), and has the same trace/response functionality as the online DBS option (one week response SLA).  There is no direct connection to the PDS</w:t>
      </w:r>
      <w:r w:rsidR="00D0783A">
        <w:t xml:space="preserve">, and data transfer is by secure email (eg, </w:t>
      </w:r>
      <w:proofErr w:type="spellStart"/>
      <w:r w:rsidR="00D0783A">
        <w:t>NHSmail</w:t>
      </w:r>
      <w:proofErr w:type="spellEnd"/>
      <w:r w:rsidR="00D0783A">
        <w:t>)</w:t>
      </w:r>
      <w:r w:rsidRPr="00D15197">
        <w:t>.</w:t>
      </w:r>
    </w:p>
    <w:p w:rsidR="00FF0532" w:rsidRPr="00D15197" w:rsidRDefault="00FF0532" w:rsidP="00DC46F5"/>
    <w:p w:rsidR="00FF0532" w:rsidRPr="00D15197" w:rsidRDefault="00FF0532" w:rsidP="00DC46F5">
      <w:r w:rsidRPr="00D15197">
        <w:t>The reason that these access methods are for direct care purposes only is because they do not take account of Type 2 Opt-Outs, where patients have stated that they do not want their information to be used for secondary purposes.</w:t>
      </w:r>
      <w:r w:rsidR="00193F0E" w:rsidRPr="00D15197">
        <w:t xml:space="preserve">  Such opt-outs are implemented through the DARS process.</w:t>
      </w:r>
    </w:p>
    <w:p w:rsidR="00FF0532" w:rsidRPr="00D15197" w:rsidRDefault="00FF0532" w:rsidP="00DC46F5"/>
    <w:p w:rsidR="00FF0532" w:rsidRPr="00D15197" w:rsidRDefault="00FF0532" w:rsidP="00DC46F5">
      <w:r w:rsidRPr="00D15197">
        <w:t>In all cases, there is a standard data set for trace requests to the PDS, and a standard response data set.  These data sets are not configurable.  However, it is possible to specify selective data items when tracing patients, depending on the access method.  Tracing guidance is available</w:t>
      </w:r>
      <w:r w:rsidR="009F562F" w:rsidRPr="00D15197">
        <w:t>, dependent on the access method</w:t>
      </w:r>
      <w:r w:rsidRPr="00D15197">
        <w:t>.</w:t>
      </w:r>
    </w:p>
    <w:p w:rsidR="00FF0532" w:rsidRPr="00D15197" w:rsidRDefault="00FF0532" w:rsidP="00DC46F5"/>
    <w:p w:rsidR="00FF0532" w:rsidRPr="00D15197" w:rsidRDefault="00FF0532" w:rsidP="00DC46F5">
      <w:r w:rsidRPr="00D15197">
        <w:t>Detailed information about each access method is available separate</w:t>
      </w:r>
      <w:r w:rsidR="00D0783A">
        <w:t>ly</w:t>
      </w:r>
      <w:r w:rsidRPr="00D15197">
        <w:t>.</w:t>
      </w:r>
    </w:p>
    <w:p w:rsidR="00E822C1" w:rsidRPr="00D15197" w:rsidRDefault="00E822C1" w:rsidP="00DC46F5"/>
    <w:p w:rsidR="00EF1069" w:rsidRPr="00D15197" w:rsidRDefault="00EF1069" w:rsidP="00DC46F5"/>
    <w:p w:rsidR="00E822C1" w:rsidRPr="00D15197" w:rsidRDefault="00E822C1" w:rsidP="00DC46F5">
      <w:pPr>
        <w:rPr>
          <w:b/>
          <w:sz w:val="28"/>
          <w:szCs w:val="28"/>
        </w:rPr>
      </w:pPr>
      <w:r w:rsidRPr="00D15197">
        <w:rPr>
          <w:b/>
          <w:sz w:val="28"/>
          <w:szCs w:val="28"/>
        </w:rPr>
        <w:t xml:space="preserve">PDS Access Requests in the context of other </w:t>
      </w:r>
      <w:r w:rsidR="00833185" w:rsidRPr="00D15197">
        <w:rPr>
          <w:b/>
          <w:sz w:val="28"/>
          <w:szCs w:val="28"/>
        </w:rPr>
        <w:t>authorisations</w:t>
      </w:r>
    </w:p>
    <w:p w:rsidR="00E822C1" w:rsidRPr="00D15197" w:rsidRDefault="00E822C1" w:rsidP="00DC46F5"/>
    <w:p w:rsidR="00E822C1" w:rsidRPr="00D15197" w:rsidRDefault="00E822C1" w:rsidP="00E822C1">
      <w:r w:rsidRPr="00D15197">
        <w:t xml:space="preserve">There may be some confusion about the different types of NHS Digital authority and agreements.  The PDS Access Request process is about the authority for a Non-NHS organisation to access the PDS.  It is the </w:t>
      </w:r>
      <w:r w:rsidRPr="00D15197">
        <w:rPr>
          <w:u w:val="single"/>
        </w:rPr>
        <w:t>organisation</w:t>
      </w:r>
      <w:r w:rsidRPr="00D15197">
        <w:t xml:space="preserve"> that is granted the authority at the end of the process.  The</w:t>
      </w:r>
      <w:r w:rsidR="00833185" w:rsidRPr="00D15197">
        <w:t>re</w:t>
      </w:r>
      <w:r w:rsidRPr="00D15197">
        <w:t xml:space="preserve"> </w:t>
      </w:r>
      <w:r w:rsidR="00833185" w:rsidRPr="00D15197">
        <w:t xml:space="preserve">are </w:t>
      </w:r>
      <w:r w:rsidRPr="00D15197">
        <w:t>associated legal agreements, as explained later in this document.</w:t>
      </w:r>
    </w:p>
    <w:p w:rsidR="00E822C1" w:rsidRPr="00D15197" w:rsidRDefault="00E822C1" w:rsidP="00E822C1"/>
    <w:p w:rsidR="006229D5" w:rsidRPr="00D15197" w:rsidRDefault="00E822C1" w:rsidP="006229D5">
      <w:r w:rsidRPr="00D15197">
        <w:t>Other types of authority are:</w:t>
      </w:r>
    </w:p>
    <w:p w:rsidR="00E822C1" w:rsidRPr="00D15197" w:rsidRDefault="00E822C1" w:rsidP="00E822C1"/>
    <w:p w:rsidR="00E822C1" w:rsidRPr="00D15197" w:rsidRDefault="00E822C1" w:rsidP="00E822C1">
      <w:pPr>
        <w:pStyle w:val="ListParagraph"/>
        <w:numPr>
          <w:ilvl w:val="0"/>
          <w:numId w:val="11"/>
        </w:numPr>
        <w:spacing w:after="120"/>
        <w:ind w:left="576" w:hanging="288"/>
        <w:contextualSpacing w:val="0"/>
      </w:pPr>
      <w:r w:rsidRPr="00D15197">
        <w:rPr>
          <w:u w:val="single"/>
        </w:rPr>
        <w:t>Network Connection - HSCN</w:t>
      </w:r>
      <w:r w:rsidRPr="00D15197">
        <w:t>:</w:t>
      </w:r>
    </w:p>
    <w:p w:rsidR="006229D5" w:rsidRPr="00D15197" w:rsidRDefault="006229D5" w:rsidP="00EF1069">
      <w:pPr>
        <w:pStyle w:val="ListParagraph"/>
        <w:numPr>
          <w:ilvl w:val="0"/>
          <w:numId w:val="14"/>
        </w:numPr>
        <w:spacing w:after="120"/>
        <w:ind w:left="936"/>
        <w:contextualSpacing w:val="0"/>
      </w:pPr>
      <w:r w:rsidRPr="00D15197">
        <w:t>There will be a legal agreement between NHS Digital and the organisation for access to HSCN.</w:t>
      </w:r>
    </w:p>
    <w:p w:rsidR="006229D5" w:rsidRPr="00D15197" w:rsidRDefault="006229D5" w:rsidP="00EF1069">
      <w:pPr>
        <w:pStyle w:val="ListParagraph"/>
        <w:numPr>
          <w:ilvl w:val="0"/>
          <w:numId w:val="14"/>
        </w:numPr>
        <w:spacing w:after="120"/>
        <w:ind w:left="936"/>
        <w:contextualSpacing w:val="0"/>
      </w:pPr>
      <w:r w:rsidRPr="00D15197">
        <w:t>There will also be an Information Governance Statement of Compliance (IGSoC) in respect of this connection.</w:t>
      </w:r>
    </w:p>
    <w:p w:rsidR="006229D5" w:rsidRPr="00D15197" w:rsidRDefault="006229D5" w:rsidP="006229D5">
      <w:pPr>
        <w:pStyle w:val="ListParagraph"/>
        <w:numPr>
          <w:ilvl w:val="0"/>
          <w:numId w:val="11"/>
        </w:numPr>
        <w:spacing w:after="120"/>
        <w:ind w:left="576" w:hanging="288"/>
        <w:contextualSpacing w:val="0"/>
      </w:pPr>
      <w:r w:rsidRPr="00D15197">
        <w:rPr>
          <w:u w:val="single"/>
        </w:rPr>
        <w:t>Data Security and Protection Toolkit (DSPT) Compliance:</w:t>
      </w:r>
    </w:p>
    <w:p w:rsidR="006229D5" w:rsidRPr="00D15197" w:rsidRDefault="006229D5" w:rsidP="00EF1069">
      <w:pPr>
        <w:pStyle w:val="ListParagraph"/>
        <w:numPr>
          <w:ilvl w:val="1"/>
          <w:numId w:val="11"/>
        </w:numPr>
        <w:spacing w:after="120"/>
        <w:ind w:left="936"/>
        <w:contextualSpacing w:val="0"/>
      </w:pPr>
      <w:r w:rsidRPr="00D15197">
        <w:t xml:space="preserve">This type of authority </w:t>
      </w:r>
      <w:r w:rsidR="00833185" w:rsidRPr="00D15197">
        <w:t xml:space="preserve">has </w:t>
      </w:r>
      <w:r w:rsidRPr="00D15197">
        <w:t>superseded the previous Information Governance Toolkit (IGT).</w:t>
      </w:r>
    </w:p>
    <w:p w:rsidR="00A8296A" w:rsidRPr="00D15197" w:rsidRDefault="00A8296A" w:rsidP="00EF1069">
      <w:pPr>
        <w:pStyle w:val="ListParagraph"/>
        <w:numPr>
          <w:ilvl w:val="1"/>
          <w:numId w:val="11"/>
        </w:numPr>
        <w:spacing w:after="120"/>
        <w:ind w:left="936"/>
        <w:contextualSpacing w:val="0"/>
        <w:rPr>
          <w:sz w:val="32"/>
        </w:rPr>
      </w:pPr>
      <w:r w:rsidRPr="00D15197">
        <w:rPr>
          <w:rFonts w:cs="Arial"/>
          <w:szCs w:val="21"/>
        </w:rPr>
        <w:t xml:space="preserve">DSPT is an online self-assessment tool that enables health and social care organisations to measure and publish their performance against the National Data Guardian's ten data security standards, introduced in the </w:t>
      </w:r>
      <w:hyperlink r:id="rId15" w:history="1">
        <w:r w:rsidRPr="00D15197">
          <w:rPr>
            <w:rStyle w:val="Hyperlink"/>
          </w:rPr>
          <w:t>National Data Guardian review of data security, consent and opt-outs</w:t>
        </w:r>
      </w:hyperlink>
      <w:r w:rsidR="00EF1069" w:rsidRPr="00D15197">
        <w:rPr>
          <w:rFonts w:cs="Arial"/>
          <w:szCs w:val="21"/>
        </w:rPr>
        <w:t>.</w:t>
      </w:r>
    </w:p>
    <w:p w:rsidR="006229D5" w:rsidRPr="00D15197" w:rsidRDefault="006229D5" w:rsidP="00EF1069">
      <w:pPr>
        <w:pStyle w:val="ListParagraph"/>
        <w:numPr>
          <w:ilvl w:val="1"/>
          <w:numId w:val="11"/>
        </w:numPr>
        <w:spacing w:after="120"/>
        <w:ind w:left="936"/>
        <w:contextualSpacing w:val="0"/>
      </w:pPr>
      <w:r w:rsidRPr="00D15197">
        <w:t xml:space="preserve">Whilst this new version of the toolkit </w:t>
      </w:r>
      <w:r w:rsidR="00833185" w:rsidRPr="00D15197">
        <w:t>is</w:t>
      </w:r>
      <w:r w:rsidRPr="00D15197">
        <w:t xml:space="preserve"> </w:t>
      </w:r>
      <w:r w:rsidR="00FC2A8F" w:rsidRPr="00D15197">
        <w:t xml:space="preserve">the replacement assurance against data security </w:t>
      </w:r>
      <w:r w:rsidR="00EF1069" w:rsidRPr="00D15197">
        <w:t>and</w:t>
      </w:r>
      <w:r w:rsidR="00FC2A8F" w:rsidRPr="00D15197">
        <w:t xml:space="preserve"> correct handling of information, previous versions of the IG Toolkit may still apply until initial reports </w:t>
      </w:r>
      <w:r w:rsidR="00833185" w:rsidRPr="00D15197">
        <w:t>using</w:t>
      </w:r>
      <w:r w:rsidR="00FC2A8F" w:rsidRPr="00D15197">
        <w:t xml:space="preserve"> the DSPT are completed.</w:t>
      </w:r>
    </w:p>
    <w:p w:rsidR="00B322D7" w:rsidRPr="00D15197" w:rsidRDefault="00312819" w:rsidP="00EF1069">
      <w:pPr>
        <w:pStyle w:val="ListParagraph"/>
        <w:numPr>
          <w:ilvl w:val="1"/>
          <w:numId w:val="11"/>
        </w:numPr>
        <w:spacing w:after="120"/>
        <w:ind w:left="936"/>
        <w:contextualSpacing w:val="0"/>
      </w:pPr>
      <w:r w:rsidRPr="00D15197">
        <w:t xml:space="preserve">The details </w:t>
      </w:r>
      <w:r w:rsidR="00A87D6A" w:rsidRPr="00D15197">
        <w:t xml:space="preserve">provided </w:t>
      </w:r>
      <w:r w:rsidRPr="00D15197">
        <w:t>with any submission should be</w:t>
      </w:r>
      <w:r w:rsidR="00A87D6A" w:rsidRPr="00D15197">
        <w:t xml:space="preserve"> of</w:t>
      </w:r>
      <w:r w:rsidRPr="00D15197">
        <w:t xml:space="preserve"> the latest version of the DSPT</w:t>
      </w:r>
      <w:r w:rsidR="00A87D6A" w:rsidRPr="00D15197">
        <w:t>,</w:t>
      </w:r>
      <w:r w:rsidRPr="00D15197">
        <w:t xml:space="preserve"> if completed.</w:t>
      </w:r>
    </w:p>
    <w:p w:rsidR="00A87D6A" w:rsidRPr="00D15197" w:rsidRDefault="00C8738F" w:rsidP="00EF1069">
      <w:pPr>
        <w:pStyle w:val="ListParagraph"/>
        <w:numPr>
          <w:ilvl w:val="1"/>
          <w:numId w:val="11"/>
        </w:numPr>
        <w:spacing w:after="120"/>
        <w:ind w:left="936"/>
        <w:contextualSpacing w:val="0"/>
      </w:pPr>
      <w:r w:rsidRPr="00D15197">
        <w:t xml:space="preserve">For more information visit - </w:t>
      </w:r>
      <w:hyperlink r:id="rId16" w:history="1">
        <w:r w:rsidR="00A87D6A" w:rsidRPr="00D15197">
          <w:rPr>
            <w:rStyle w:val="Hyperlink"/>
          </w:rPr>
          <w:t>https://digital.nhs.uk/data-and-information/looking-after-information/data-security-and-information-governance/data-security-and-protection-toolkit</w:t>
        </w:r>
      </w:hyperlink>
      <w:r w:rsidRPr="00D15197">
        <w:t>.</w:t>
      </w:r>
    </w:p>
    <w:p w:rsidR="00527404" w:rsidRPr="00D15197" w:rsidRDefault="00044274" w:rsidP="00EF1069">
      <w:pPr>
        <w:pStyle w:val="ListParagraph"/>
        <w:numPr>
          <w:ilvl w:val="1"/>
          <w:numId w:val="11"/>
        </w:numPr>
        <w:spacing w:after="120"/>
        <w:ind w:left="936"/>
        <w:contextualSpacing w:val="0"/>
      </w:pPr>
      <w:r w:rsidRPr="00D15197">
        <w:t>Organisations are required to</w:t>
      </w:r>
      <w:r w:rsidR="00084FC5" w:rsidRPr="00D15197">
        <w:t xml:space="preserve"> publish </w:t>
      </w:r>
      <w:r w:rsidRPr="00D15197">
        <w:t>a</w:t>
      </w:r>
      <w:r w:rsidR="00084FC5" w:rsidRPr="00D15197">
        <w:t xml:space="preserve">n </w:t>
      </w:r>
      <w:r w:rsidRPr="00D15197">
        <w:t>assessment</w:t>
      </w:r>
      <w:r w:rsidR="00084FC5" w:rsidRPr="00D15197">
        <w:t xml:space="preserve"> using the new toolkit by 31 Mar 2019</w:t>
      </w:r>
      <w:r w:rsidR="006A1E44" w:rsidRPr="00D15197">
        <w:t xml:space="preserve">. </w:t>
      </w:r>
      <w:r w:rsidR="00EF1069" w:rsidRPr="00D15197">
        <w:t xml:space="preserve"> A</w:t>
      </w:r>
      <w:r w:rsidR="006A1E44" w:rsidRPr="00D15197">
        <w:t xml:space="preserve">cute, mental health and ambulance trusts together with community </w:t>
      </w:r>
      <w:r w:rsidR="003E37A5" w:rsidRPr="00D15197">
        <w:t>service providers are required to provide a baseline assessment by October 2018.</w:t>
      </w:r>
    </w:p>
    <w:p w:rsidR="00E822C1" w:rsidRPr="00D15197" w:rsidRDefault="00E822C1" w:rsidP="00E822C1">
      <w:pPr>
        <w:pStyle w:val="ListParagraph"/>
        <w:numPr>
          <w:ilvl w:val="0"/>
          <w:numId w:val="11"/>
        </w:numPr>
        <w:spacing w:after="120"/>
        <w:ind w:left="576" w:hanging="288"/>
        <w:contextualSpacing w:val="0"/>
      </w:pPr>
      <w:proofErr w:type="gramStart"/>
      <w:r w:rsidRPr="00D15197">
        <w:rPr>
          <w:u w:val="single"/>
        </w:rPr>
        <w:t>End Point</w:t>
      </w:r>
      <w:proofErr w:type="gramEnd"/>
      <w:r w:rsidRPr="00D15197">
        <w:rPr>
          <w:u w:val="single"/>
        </w:rPr>
        <w:t xml:space="preserve"> Registration and Security Certificates</w:t>
      </w:r>
      <w:r w:rsidRPr="00D15197">
        <w:t>:</w:t>
      </w:r>
    </w:p>
    <w:p w:rsidR="00E822C1" w:rsidRPr="00D15197" w:rsidRDefault="00E822C1" w:rsidP="00E822C1">
      <w:pPr>
        <w:pStyle w:val="ListParagraph"/>
        <w:numPr>
          <w:ilvl w:val="0"/>
          <w:numId w:val="12"/>
        </w:numPr>
        <w:spacing w:after="120"/>
        <w:ind w:left="936"/>
        <w:contextualSpacing w:val="0"/>
      </w:pPr>
      <w:r w:rsidRPr="00D15197">
        <w:t>These are needed for all of the PDS access methods except the DBS Bureau service.  This is about the technical aspects of accessing the PDS.</w:t>
      </w:r>
    </w:p>
    <w:p w:rsidR="00E822C1" w:rsidRPr="00D15197" w:rsidRDefault="00E822C1" w:rsidP="00E822C1">
      <w:pPr>
        <w:pStyle w:val="ListParagraph"/>
        <w:numPr>
          <w:ilvl w:val="0"/>
          <w:numId w:val="11"/>
        </w:numPr>
        <w:spacing w:after="120"/>
        <w:ind w:left="576" w:hanging="288"/>
        <w:contextualSpacing w:val="0"/>
      </w:pPr>
      <w:r w:rsidRPr="00D15197">
        <w:rPr>
          <w:u w:val="single"/>
        </w:rPr>
        <w:t>Smartcards</w:t>
      </w:r>
      <w:r w:rsidRPr="00D15197">
        <w:t>:</w:t>
      </w:r>
    </w:p>
    <w:p w:rsidR="00E822C1" w:rsidRPr="00D15197" w:rsidRDefault="00E822C1" w:rsidP="00E822C1">
      <w:pPr>
        <w:pStyle w:val="ListParagraph"/>
        <w:numPr>
          <w:ilvl w:val="0"/>
          <w:numId w:val="12"/>
        </w:numPr>
        <w:spacing w:after="120"/>
        <w:ind w:left="936"/>
        <w:contextualSpacing w:val="0"/>
      </w:pPr>
      <w:r w:rsidRPr="00D15197">
        <w:t>Some access methods require the use of smartcards - eg, Spine Integrated systems and the Summary Care Record Application (SCRa).</w:t>
      </w:r>
    </w:p>
    <w:p w:rsidR="00E822C1" w:rsidRPr="00D15197" w:rsidRDefault="00E822C1" w:rsidP="00E822C1">
      <w:pPr>
        <w:pStyle w:val="ListParagraph"/>
        <w:numPr>
          <w:ilvl w:val="0"/>
          <w:numId w:val="12"/>
        </w:numPr>
        <w:spacing w:after="120"/>
        <w:ind w:left="936"/>
        <w:contextualSpacing w:val="0"/>
      </w:pPr>
      <w:r w:rsidRPr="00D15197">
        <w:t xml:space="preserve">This is about the authority for </w:t>
      </w:r>
      <w:r w:rsidRPr="00D0783A">
        <w:rPr>
          <w:u w:val="single"/>
        </w:rPr>
        <w:t>users</w:t>
      </w:r>
      <w:r w:rsidRPr="00D15197">
        <w:t xml:space="preserve"> in an organisation to access the Spine - PDS or Summary Care Record, depending on their role.  Smartcard roles are assigned through the Registration Authority (RA) process.</w:t>
      </w:r>
    </w:p>
    <w:p w:rsidR="00E727A4" w:rsidRPr="00D15197" w:rsidRDefault="00E727A4" w:rsidP="00DC46F5"/>
    <w:p w:rsidR="00EF1069" w:rsidRPr="00D15197" w:rsidRDefault="00EF1069" w:rsidP="00DC46F5"/>
    <w:p w:rsidR="00E727A4" w:rsidRPr="00D15197" w:rsidRDefault="00E727A4" w:rsidP="00DC46F5">
      <w:pPr>
        <w:rPr>
          <w:b/>
          <w:sz w:val="28"/>
          <w:szCs w:val="28"/>
        </w:rPr>
      </w:pPr>
      <w:r w:rsidRPr="00D15197">
        <w:rPr>
          <w:b/>
          <w:sz w:val="28"/>
          <w:szCs w:val="28"/>
        </w:rPr>
        <w:t xml:space="preserve">Secure </w:t>
      </w:r>
      <w:r w:rsidR="00F95755" w:rsidRPr="00D15197">
        <w:rPr>
          <w:b/>
          <w:sz w:val="28"/>
          <w:szCs w:val="28"/>
        </w:rPr>
        <w:t xml:space="preserve">Network </w:t>
      </w:r>
      <w:r w:rsidRPr="00D15197">
        <w:rPr>
          <w:b/>
          <w:sz w:val="28"/>
          <w:szCs w:val="28"/>
        </w:rPr>
        <w:t>Connections</w:t>
      </w:r>
    </w:p>
    <w:p w:rsidR="00E727A4" w:rsidRPr="00D15197" w:rsidRDefault="00E727A4" w:rsidP="00DC46F5"/>
    <w:p w:rsidR="00F95755" w:rsidRPr="00D15197" w:rsidRDefault="00F95755" w:rsidP="005B3E8F">
      <w:r w:rsidRPr="00D15197">
        <w:t>Some organisations may already have a secure connection</w:t>
      </w:r>
      <w:r w:rsidR="00E20F38" w:rsidRPr="00D15197">
        <w:t xml:space="preserve"> in place</w:t>
      </w:r>
      <w:r w:rsidRPr="00D15197">
        <w:t>.  For those that do not and require new connectivity, the market place for the Health and Social Care Network (</w:t>
      </w:r>
      <w:hyperlink r:id="rId17" w:history="1">
        <w:r w:rsidRPr="00D15197">
          <w:rPr>
            <w:rStyle w:val="Hyperlink"/>
          </w:rPr>
          <w:t>HSCN</w:t>
        </w:r>
      </w:hyperlink>
      <w:r w:rsidRPr="00D15197">
        <w:t>)</w:t>
      </w:r>
      <w:r w:rsidR="00EF1069" w:rsidRPr="00D15197">
        <w:t xml:space="preserve"> is available</w:t>
      </w:r>
      <w:r w:rsidRPr="00D15197">
        <w:t>.</w:t>
      </w:r>
    </w:p>
    <w:p w:rsidR="00F95755" w:rsidRPr="00D15197" w:rsidRDefault="00F95755" w:rsidP="005B3E8F"/>
    <w:p w:rsidR="00F95755" w:rsidRPr="00D15197" w:rsidRDefault="00F95755" w:rsidP="005B3E8F">
      <w:r w:rsidRPr="00D15197">
        <w:t xml:space="preserve">If information is needed about implementing a secure connection to the PDS, please add this to the email at Appendix A, or send a separate enquiry to </w:t>
      </w:r>
      <w:hyperlink r:id="rId18" w:history="1">
        <w:r w:rsidRPr="00D15197">
          <w:rPr>
            <w:rStyle w:val="Hyperlink"/>
          </w:rPr>
          <w:t>enquries@nhsdigital.nhs.uk</w:t>
        </w:r>
      </w:hyperlink>
      <w:r w:rsidRPr="00D15197">
        <w:t>, with “</w:t>
      </w:r>
      <w:r w:rsidRPr="00D15197">
        <w:rPr>
          <w:i/>
          <w:iCs/>
        </w:rPr>
        <w:t>PDS Access - Secure Network Connection Information Request</w:t>
      </w:r>
      <w:r w:rsidRPr="00D15197">
        <w:t>” in the subject line</w:t>
      </w:r>
      <w:r w:rsidR="00D0783A">
        <w:t>.</w:t>
      </w:r>
    </w:p>
    <w:p w:rsidR="00F95755" w:rsidRPr="00D15197" w:rsidRDefault="00F95755" w:rsidP="005B3E8F"/>
    <w:p w:rsidR="005B3E8F" w:rsidRPr="00D15197" w:rsidRDefault="005B3E8F" w:rsidP="005B3E8F">
      <w:r w:rsidRPr="00D15197">
        <w:t xml:space="preserve">Alternatively, </w:t>
      </w:r>
      <w:r w:rsidR="00F95755" w:rsidRPr="00D15197">
        <w:t xml:space="preserve">for local authorities, </w:t>
      </w:r>
      <w:r w:rsidRPr="00D15197">
        <w:t xml:space="preserve">there may be local options to connect via the Public Services Network (PSN), or via a local healthcare partner organisation with </w:t>
      </w:r>
      <w:r w:rsidR="00C925F0" w:rsidRPr="00D15197">
        <w:t>a HSCN</w:t>
      </w:r>
      <w:r w:rsidRPr="00D15197">
        <w:t xml:space="preserve"> connection.</w:t>
      </w:r>
    </w:p>
    <w:p w:rsidR="00F95755" w:rsidRPr="00D15197" w:rsidRDefault="00F95755">
      <w:pPr>
        <w:rPr>
          <w:b/>
          <w:sz w:val="28"/>
          <w:szCs w:val="28"/>
        </w:rPr>
      </w:pPr>
    </w:p>
    <w:p w:rsidR="0070135E" w:rsidRPr="00D15197" w:rsidRDefault="0070135E" w:rsidP="0070135E">
      <w:pPr>
        <w:rPr>
          <w:b/>
          <w:sz w:val="28"/>
          <w:szCs w:val="28"/>
        </w:rPr>
      </w:pPr>
      <w:r w:rsidRPr="00D15197">
        <w:rPr>
          <w:b/>
          <w:sz w:val="28"/>
          <w:szCs w:val="28"/>
        </w:rPr>
        <w:t>Cloud Storage</w:t>
      </w:r>
    </w:p>
    <w:p w:rsidR="0070135E" w:rsidRPr="00D15197" w:rsidRDefault="0070135E" w:rsidP="0070135E">
      <w:pPr>
        <w:rPr>
          <w:sz w:val="28"/>
          <w:szCs w:val="28"/>
        </w:rPr>
      </w:pPr>
    </w:p>
    <w:p w:rsidR="0070135E" w:rsidRPr="00D15197" w:rsidRDefault="0082591D" w:rsidP="0070135E">
      <w:pPr>
        <w:rPr>
          <w:szCs w:val="28"/>
        </w:rPr>
      </w:pPr>
      <w:hyperlink r:id="rId19" w:anchor="cloud-hosting" w:history="1">
        <w:r w:rsidR="0070135E" w:rsidRPr="00D15197">
          <w:rPr>
            <w:rStyle w:val="Hyperlink"/>
            <w:szCs w:val="28"/>
          </w:rPr>
          <w:t>Guidance</w:t>
        </w:r>
      </w:hyperlink>
      <w:r w:rsidR="0070135E" w:rsidRPr="00D15197">
        <w:rPr>
          <w:szCs w:val="28"/>
        </w:rPr>
        <w:t xml:space="preserve"> was produced by NHS Digital in January 2018 which enable</w:t>
      </w:r>
      <w:r w:rsidR="00833185" w:rsidRPr="00D15197">
        <w:rPr>
          <w:szCs w:val="28"/>
        </w:rPr>
        <w:t>s</w:t>
      </w:r>
      <w:r w:rsidR="0070135E" w:rsidRPr="00D15197">
        <w:rPr>
          <w:szCs w:val="28"/>
        </w:rPr>
        <w:t xml:space="preserve"> health and care organisations to use cloud services and/or store patient data offshore.  An </w:t>
      </w:r>
      <w:hyperlink r:id="rId20" w:history="1">
        <w:r w:rsidR="0070135E" w:rsidRPr="00D15197">
          <w:rPr>
            <w:rStyle w:val="Hyperlink"/>
            <w:szCs w:val="28"/>
          </w:rPr>
          <w:t>overview of the requirements</w:t>
        </w:r>
      </w:hyperlink>
      <w:r w:rsidR="0070135E" w:rsidRPr="00D15197">
        <w:rPr>
          <w:szCs w:val="28"/>
        </w:rPr>
        <w:t xml:space="preserve"> provides more detailed information.</w:t>
      </w:r>
    </w:p>
    <w:p w:rsidR="0070135E" w:rsidRPr="00D15197" w:rsidRDefault="0070135E" w:rsidP="0070135E">
      <w:pPr>
        <w:rPr>
          <w:szCs w:val="28"/>
        </w:rPr>
      </w:pPr>
    </w:p>
    <w:p w:rsidR="0070135E" w:rsidRPr="00D15197" w:rsidRDefault="0070135E" w:rsidP="0070135E">
      <w:pPr>
        <w:rPr>
          <w:lang w:val="en"/>
        </w:rPr>
      </w:pPr>
      <w:proofErr w:type="spellStart"/>
      <w:r w:rsidRPr="00D15197">
        <w:rPr>
          <w:lang w:val="en"/>
        </w:rPr>
        <w:t>Organisations</w:t>
      </w:r>
      <w:proofErr w:type="spellEnd"/>
      <w:r w:rsidRPr="00D15197">
        <w:rPr>
          <w:lang w:val="en"/>
        </w:rPr>
        <w:t xml:space="preserve"> that include the use of cloud services and/or store patient data offshore in their applications will need to provide evidence that they have undertaken the steps described in the guidance for their application to progress.</w:t>
      </w:r>
    </w:p>
    <w:p w:rsidR="0070135E" w:rsidRPr="00D15197" w:rsidRDefault="0070135E" w:rsidP="0070135E">
      <w:pPr>
        <w:rPr>
          <w:szCs w:val="28"/>
        </w:rPr>
      </w:pPr>
    </w:p>
    <w:p w:rsidR="0070135E" w:rsidRPr="00D15197" w:rsidRDefault="0070135E" w:rsidP="0070135E">
      <w:pPr>
        <w:rPr>
          <w:szCs w:val="28"/>
        </w:rPr>
      </w:pPr>
      <w:r w:rsidRPr="00D15197">
        <w:rPr>
          <w:szCs w:val="28"/>
        </w:rPr>
        <w:t xml:space="preserve">Where cloud storage applies, details listed in the sections “Specific DARS requirements” and “Evidence to support a DARS application” found in the guidance should be provided with the applications for PDS Access.  </w:t>
      </w:r>
      <w:proofErr w:type="gramStart"/>
      <w:r w:rsidRPr="00D15197">
        <w:rPr>
          <w:szCs w:val="28"/>
        </w:rPr>
        <w:t>As long as</w:t>
      </w:r>
      <w:proofErr w:type="gramEnd"/>
      <w:r w:rsidRPr="00D15197">
        <w:rPr>
          <w:szCs w:val="28"/>
        </w:rPr>
        <w:t xml:space="preserve"> these prerequisites are met, then cloud storage can be approved.</w:t>
      </w:r>
    </w:p>
    <w:p w:rsidR="0070135E" w:rsidRPr="00D15197" w:rsidRDefault="0070135E" w:rsidP="0070135E">
      <w:pPr>
        <w:rPr>
          <w:szCs w:val="28"/>
        </w:rPr>
      </w:pPr>
    </w:p>
    <w:p w:rsidR="0070135E" w:rsidRPr="00D15197" w:rsidRDefault="0070135E" w:rsidP="0070135E">
      <w:pPr>
        <w:rPr>
          <w:szCs w:val="28"/>
        </w:rPr>
      </w:pPr>
    </w:p>
    <w:p w:rsidR="00FF0532" w:rsidRPr="00D15197" w:rsidRDefault="00FF0532" w:rsidP="00DC46F5">
      <w:pPr>
        <w:rPr>
          <w:b/>
          <w:sz w:val="28"/>
          <w:szCs w:val="28"/>
        </w:rPr>
      </w:pPr>
      <w:r w:rsidRPr="00D15197">
        <w:rPr>
          <w:b/>
          <w:sz w:val="28"/>
          <w:szCs w:val="28"/>
        </w:rPr>
        <w:t>PDS Access Request Process</w:t>
      </w:r>
    </w:p>
    <w:p w:rsidR="00FF0532" w:rsidRPr="00D15197" w:rsidRDefault="00FF0532" w:rsidP="00DC46F5"/>
    <w:p w:rsidR="00FF0532" w:rsidRPr="00D15197" w:rsidRDefault="00FF0532" w:rsidP="00AB7993">
      <w:pPr>
        <w:rPr>
          <w:rFonts w:cs="Arial"/>
          <w:color w:val="000000" w:themeColor="text1"/>
          <w:szCs w:val="24"/>
          <w:lang w:val="en-US"/>
        </w:rPr>
      </w:pPr>
      <w:r w:rsidRPr="00D15197">
        <w:rPr>
          <w:rFonts w:cs="Arial"/>
          <w:color w:val="000000" w:themeColor="text1"/>
          <w:szCs w:val="24"/>
          <w:lang w:val="en-US"/>
        </w:rPr>
        <w:t>The approach rests on establishing consistent criteria against which any given application and purpose (use case) can be assessed.  Both the criteria and the procedures draw on the experience and lessons learned from prior submissions, with the following being key:</w:t>
      </w:r>
    </w:p>
    <w:p w:rsidR="00FF0532" w:rsidRPr="00D15197" w:rsidRDefault="00FF0532" w:rsidP="00AB7993">
      <w:pPr>
        <w:pStyle w:val="ListParagraph"/>
        <w:jc w:val="both"/>
        <w:rPr>
          <w:rFonts w:cs="Arial"/>
          <w:color w:val="000000" w:themeColor="text1"/>
          <w:szCs w:val="24"/>
          <w:lang w:val="en-US"/>
        </w:rPr>
      </w:pPr>
    </w:p>
    <w:p w:rsidR="00FF0532" w:rsidRPr="00D15197" w:rsidRDefault="00FF0532" w:rsidP="00984D45">
      <w:pPr>
        <w:pStyle w:val="ListParagraph"/>
        <w:numPr>
          <w:ilvl w:val="0"/>
          <w:numId w:val="2"/>
        </w:numPr>
        <w:spacing w:after="120"/>
        <w:ind w:left="576" w:hanging="288"/>
        <w:contextualSpacing w:val="0"/>
      </w:pPr>
      <w:r w:rsidRPr="00D15197">
        <w:t xml:space="preserve">Applications need to be clear and explicit about what </w:t>
      </w:r>
      <w:r w:rsidR="004E7029" w:rsidRPr="00D15197">
        <w:t>business processes</w:t>
      </w:r>
      <w:r w:rsidRPr="00D15197">
        <w:t xml:space="preserve"> the requested access will support, and why </w:t>
      </w:r>
      <w:r w:rsidR="00D0783A">
        <w:t>PDS access</w:t>
      </w:r>
      <w:r w:rsidRPr="00D15197">
        <w:t xml:space="preserve"> is required;</w:t>
      </w:r>
    </w:p>
    <w:p w:rsidR="00D320D8" w:rsidRPr="00D15197" w:rsidRDefault="00D320D8" w:rsidP="00984D45">
      <w:pPr>
        <w:pStyle w:val="ListParagraph"/>
        <w:numPr>
          <w:ilvl w:val="0"/>
          <w:numId w:val="2"/>
        </w:numPr>
        <w:spacing w:after="120"/>
        <w:ind w:left="576" w:hanging="288"/>
        <w:contextualSpacing w:val="0"/>
      </w:pPr>
      <w:r w:rsidRPr="00D15197">
        <w:t xml:space="preserve">The legal basis </w:t>
      </w:r>
      <w:r w:rsidR="00D0783A">
        <w:t xml:space="preserve">for NHS Digital releasing the data </w:t>
      </w:r>
      <w:r w:rsidRPr="00D15197">
        <w:t>must be stated, if known at the initial request stage.</w:t>
      </w:r>
      <w:r w:rsidR="00D0783A">
        <w:t xml:space="preserve">  For public bodies the relevant statutory duties should be stated.</w:t>
      </w:r>
    </w:p>
    <w:p w:rsidR="00FF0532" w:rsidRPr="00D15197" w:rsidRDefault="00FF0532" w:rsidP="00984D45">
      <w:pPr>
        <w:pStyle w:val="ListParagraph"/>
        <w:numPr>
          <w:ilvl w:val="0"/>
          <w:numId w:val="2"/>
        </w:numPr>
        <w:spacing w:after="120"/>
        <w:ind w:left="576" w:hanging="288"/>
        <w:contextualSpacing w:val="0"/>
      </w:pPr>
      <w:r w:rsidRPr="00D15197">
        <w:t>The assessment of applications include</w:t>
      </w:r>
      <w:r w:rsidR="00D320D8" w:rsidRPr="00D15197">
        <w:t>s</w:t>
      </w:r>
      <w:r w:rsidRPr="00D15197">
        <w:t xml:space="preserve"> assessment of the risk associated with the proposed access and use, </w:t>
      </w:r>
      <w:r w:rsidR="00D320D8" w:rsidRPr="00D15197">
        <w:t>to</w:t>
      </w:r>
      <w:r w:rsidRPr="00D15197">
        <w:t xml:space="preserve"> consider whether it is within the tolerance range for NHS Digital, rather than seeking to reduce risk to near-zero;</w:t>
      </w:r>
    </w:p>
    <w:p w:rsidR="00FF0532" w:rsidRPr="00D15197" w:rsidRDefault="00EC1AEE" w:rsidP="00984D45">
      <w:pPr>
        <w:pStyle w:val="ListParagraph"/>
        <w:numPr>
          <w:ilvl w:val="0"/>
          <w:numId w:val="2"/>
        </w:numPr>
        <w:spacing w:after="120"/>
        <w:ind w:left="576" w:hanging="288"/>
        <w:contextualSpacing w:val="0"/>
      </w:pPr>
      <w:r w:rsidRPr="00D15197">
        <w:t>A</w:t>
      </w:r>
      <w:r w:rsidR="00FF0532" w:rsidRPr="00D15197">
        <w:t>ny novel type of application or use case</w:t>
      </w:r>
      <w:r w:rsidRPr="00D15197">
        <w:t xml:space="preserve"> may require referral to the NHS Digital Information Governance (IG) Team</w:t>
      </w:r>
      <w:r w:rsidR="004E7029" w:rsidRPr="00D15197">
        <w:t>, in the first instance</w:t>
      </w:r>
      <w:r w:rsidR="00FF0532" w:rsidRPr="00D15197">
        <w:t>.</w:t>
      </w:r>
    </w:p>
    <w:p w:rsidR="00FF0532" w:rsidRPr="00D15197" w:rsidRDefault="00FF0532">
      <w:pPr>
        <w:rPr>
          <w:rFonts w:cs="Arial"/>
          <w:color w:val="000000" w:themeColor="text1"/>
          <w:szCs w:val="24"/>
          <w:lang w:val="en-US"/>
        </w:rPr>
      </w:pPr>
    </w:p>
    <w:p w:rsidR="00FF0532" w:rsidRPr="00D15197" w:rsidRDefault="00FF0532" w:rsidP="00DC46F5">
      <w:pPr>
        <w:rPr>
          <w:rFonts w:cs="Arial"/>
          <w:color w:val="000000" w:themeColor="text1"/>
          <w:szCs w:val="24"/>
          <w:lang w:val="en-US"/>
        </w:rPr>
      </w:pPr>
      <w:r w:rsidRPr="00D15197">
        <w:rPr>
          <w:rFonts w:cs="Arial"/>
          <w:color w:val="000000" w:themeColor="text1"/>
          <w:szCs w:val="24"/>
          <w:lang w:val="en-US"/>
        </w:rPr>
        <w:t xml:space="preserve">As stated above, this process is concerned only with requests for tracing access to the PDS, that is for direct care purposes in </w:t>
      </w:r>
      <w:r w:rsidRPr="00D15197">
        <w:rPr>
          <w:rFonts w:cs="Arial"/>
          <w:color w:val="000000" w:themeColor="text1"/>
          <w:szCs w:val="24"/>
        </w:rPr>
        <w:t>organisations</w:t>
      </w:r>
      <w:r w:rsidRPr="00D15197">
        <w:rPr>
          <w:rFonts w:cs="Arial"/>
          <w:color w:val="000000" w:themeColor="text1"/>
          <w:szCs w:val="24"/>
          <w:lang w:val="en-US"/>
        </w:rPr>
        <w:t xml:space="preserve"> that already have a service relationship with an individual, and hold identifying information about them that they wish to validate and, if necessary, update.</w:t>
      </w:r>
    </w:p>
    <w:p w:rsidR="00FF0532" w:rsidRPr="00D15197" w:rsidRDefault="00FF0532" w:rsidP="00DC46F5">
      <w:pPr>
        <w:rPr>
          <w:rFonts w:cs="Arial"/>
          <w:color w:val="000000" w:themeColor="text1"/>
          <w:szCs w:val="24"/>
          <w:lang w:val="en-US"/>
        </w:rPr>
      </w:pPr>
    </w:p>
    <w:p w:rsidR="00FF0532" w:rsidRPr="00D15197" w:rsidRDefault="00FF0532" w:rsidP="00984D45">
      <w:pPr>
        <w:rPr>
          <w:rFonts w:cs="Arial"/>
          <w:color w:val="000000" w:themeColor="text1"/>
          <w:szCs w:val="24"/>
          <w:lang w:val="en-US"/>
        </w:rPr>
      </w:pPr>
      <w:r w:rsidRPr="00D15197">
        <w:rPr>
          <w:rFonts w:cs="Arial"/>
          <w:color w:val="000000" w:themeColor="text1"/>
          <w:szCs w:val="24"/>
          <w:lang w:val="en-US"/>
        </w:rPr>
        <w:t xml:space="preserve">The process for handling requests for access to PDS data for operational </w:t>
      </w:r>
      <w:r w:rsidR="00AF4A1F" w:rsidRPr="00D15197">
        <w:rPr>
          <w:rFonts w:cs="Arial"/>
          <w:color w:val="000000" w:themeColor="text1"/>
          <w:szCs w:val="24"/>
          <w:lang w:val="en-US"/>
        </w:rPr>
        <w:t xml:space="preserve">direct care </w:t>
      </w:r>
      <w:r w:rsidRPr="00D15197">
        <w:rPr>
          <w:rFonts w:cs="Arial"/>
          <w:color w:val="000000" w:themeColor="text1"/>
          <w:szCs w:val="24"/>
          <w:lang w:val="en-US"/>
        </w:rPr>
        <w:t xml:space="preserve">purposes is based on a principle of </w:t>
      </w:r>
      <w:r w:rsidRPr="00D15197">
        <w:rPr>
          <w:rFonts w:cs="Arial"/>
          <w:color w:val="000000" w:themeColor="text1"/>
          <w:szCs w:val="24"/>
        </w:rPr>
        <w:t>categorising</w:t>
      </w:r>
      <w:r w:rsidRPr="00D15197">
        <w:rPr>
          <w:rFonts w:cs="Arial"/>
          <w:color w:val="000000" w:themeColor="text1"/>
          <w:szCs w:val="24"/>
          <w:lang w:val="en-US"/>
        </w:rPr>
        <w:t xml:space="preserve"> the </w:t>
      </w:r>
      <w:r w:rsidR="00EC1AEE" w:rsidRPr="00D15197">
        <w:rPr>
          <w:rFonts w:cs="Arial"/>
          <w:color w:val="000000" w:themeColor="text1"/>
          <w:szCs w:val="24"/>
          <w:lang w:val="en-US"/>
        </w:rPr>
        <w:t>request</w:t>
      </w:r>
      <w:r w:rsidRPr="00D15197">
        <w:rPr>
          <w:rFonts w:cs="Arial"/>
          <w:color w:val="000000" w:themeColor="text1"/>
          <w:szCs w:val="24"/>
          <w:lang w:val="en-US"/>
        </w:rPr>
        <w:t xml:space="preserve"> through a set of pre-defined criteria, whereby the request is assessed and granted.</w:t>
      </w:r>
      <w:r w:rsidR="00EC1AEE" w:rsidRPr="00D15197">
        <w:rPr>
          <w:rFonts w:cs="Arial"/>
          <w:color w:val="000000" w:themeColor="text1"/>
          <w:szCs w:val="24"/>
          <w:lang w:val="en-US"/>
        </w:rPr>
        <w:t xml:space="preserve">  </w:t>
      </w:r>
      <w:r w:rsidRPr="00D15197">
        <w:rPr>
          <w:rFonts w:cs="Arial"/>
          <w:color w:val="000000" w:themeColor="text1"/>
          <w:szCs w:val="24"/>
          <w:lang w:val="en-US"/>
        </w:rPr>
        <w:t>The criteria used include:</w:t>
      </w:r>
    </w:p>
    <w:p w:rsidR="00FF0532" w:rsidRPr="00D15197" w:rsidRDefault="00FF0532" w:rsidP="00984D45">
      <w:pPr>
        <w:rPr>
          <w:rFonts w:cs="Arial"/>
          <w:color w:val="000000" w:themeColor="text1"/>
          <w:szCs w:val="24"/>
          <w:lang w:val="en-US"/>
        </w:rPr>
      </w:pPr>
    </w:p>
    <w:p w:rsidR="00FF0532" w:rsidRPr="00D15197" w:rsidRDefault="00FF0532" w:rsidP="00984D45">
      <w:pPr>
        <w:pStyle w:val="ListParagraph"/>
        <w:numPr>
          <w:ilvl w:val="0"/>
          <w:numId w:val="7"/>
        </w:numPr>
        <w:spacing w:after="120"/>
        <w:contextualSpacing w:val="0"/>
        <w:rPr>
          <w:rFonts w:cs="Arial"/>
          <w:color w:val="000000" w:themeColor="text1"/>
          <w:szCs w:val="24"/>
          <w:lang w:val="en-US"/>
        </w:rPr>
      </w:pPr>
      <w:r w:rsidRPr="00D15197">
        <w:rPr>
          <w:rFonts w:cs="Arial"/>
          <w:color w:val="000000" w:themeColor="text1"/>
          <w:szCs w:val="24"/>
          <w:lang w:val="en-US"/>
        </w:rPr>
        <w:t>Organisation type</w:t>
      </w:r>
      <w:r w:rsidR="00965C22" w:rsidRPr="00D15197">
        <w:rPr>
          <w:rFonts w:cs="Arial"/>
          <w:color w:val="000000" w:themeColor="text1"/>
          <w:szCs w:val="24"/>
          <w:lang w:val="en-US"/>
        </w:rPr>
        <w:t xml:space="preserve"> - eg, NHS or type of</w:t>
      </w:r>
      <w:r w:rsidRPr="00D15197">
        <w:rPr>
          <w:rFonts w:cs="Arial"/>
          <w:color w:val="000000" w:themeColor="text1"/>
          <w:szCs w:val="24"/>
          <w:lang w:val="en-US"/>
        </w:rPr>
        <w:t xml:space="preserve"> non-NHS organisation.</w:t>
      </w:r>
    </w:p>
    <w:p w:rsidR="00FF0532" w:rsidRPr="00D15197" w:rsidRDefault="00FF0532" w:rsidP="00984D45">
      <w:pPr>
        <w:pStyle w:val="ListParagraph"/>
        <w:numPr>
          <w:ilvl w:val="0"/>
          <w:numId w:val="7"/>
        </w:numPr>
        <w:spacing w:after="120"/>
        <w:contextualSpacing w:val="0"/>
        <w:rPr>
          <w:rFonts w:cs="Arial"/>
          <w:color w:val="000000" w:themeColor="text1"/>
          <w:szCs w:val="24"/>
          <w:lang w:val="en-US"/>
        </w:rPr>
      </w:pPr>
      <w:r w:rsidRPr="00D15197">
        <w:rPr>
          <w:rFonts w:cs="Arial"/>
          <w:color w:val="000000" w:themeColor="text1"/>
          <w:szCs w:val="24"/>
          <w:lang w:val="en-US"/>
        </w:rPr>
        <w:t>Type of service provided - eg, direct care or not.</w:t>
      </w:r>
    </w:p>
    <w:p w:rsidR="00FF0532" w:rsidRPr="00D15197" w:rsidRDefault="00FF0532" w:rsidP="00984D45">
      <w:pPr>
        <w:pStyle w:val="ListParagraph"/>
        <w:numPr>
          <w:ilvl w:val="0"/>
          <w:numId w:val="7"/>
        </w:numPr>
        <w:spacing w:after="120"/>
        <w:contextualSpacing w:val="0"/>
        <w:rPr>
          <w:rFonts w:cs="Arial"/>
          <w:color w:val="000000" w:themeColor="text1"/>
          <w:szCs w:val="24"/>
          <w:lang w:val="en-US"/>
        </w:rPr>
      </w:pPr>
      <w:r w:rsidRPr="00D15197">
        <w:rPr>
          <w:rFonts w:cs="Arial"/>
          <w:color w:val="000000" w:themeColor="text1"/>
          <w:szCs w:val="24"/>
          <w:lang w:val="en-US"/>
        </w:rPr>
        <w:t>Processing objectives and purpose</w:t>
      </w:r>
      <w:r w:rsidR="00EC1AEE" w:rsidRPr="00D15197">
        <w:rPr>
          <w:rFonts w:cs="Arial"/>
          <w:color w:val="000000" w:themeColor="text1"/>
          <w:szCs w:val="24"/>
          <w:lang w:val="en-US"/>
        </w:rPr>
        <w:t xml:space="preserve"> (use case)</w:t>
      </w:r>
      <w:r w:rsidRPr="00D15197">
        <w:rPr>
          <w:rFonts w:cs="Arial"/>
          <w:color w:val="000000" w:themeColor="text1"/>
          <w:szCs w:val="24"/>
          <w:lang w:val="en-US"/>
        </w:rPr>
        <w:t>.</w:t>
      </w:r>
      <w:r w:rsidR="00064129" w:rsidRPr="00D15197">
        <w:rPr>
          <w:rFonts w:cs="Arial"/>
          <w:color w:val="000000" w:themeColor="text1"/>
          <w:szCs w:val="24"/>
          <w:lang w:val="en-US"/>
        </w:rPr>
        <w:t xml:space="preserve">  For non-standard cases it will be helpful to have a context diagram as a supporting document, also indicating the underlying technical architecture.</w:t>
      </w:r>
    </w:p>
    <w:p w:rsidR="00D22854" w:rsidRPr="00D15197" w:rsidRDefault="00D22854" w:rsidP="00984D45">
      <w:pPr>
        <w:pStyle w:val="ListParagraph"/>
        <w:numPr>
          <w:ilvl w:val="0"/>
          <w:numId w:val="7"/>
        </w:numPr>
        <w:spacing w:after="120"/>
        <w:contextualSpacing w:val="0"/>
        <w:rPr>
          <w:rFonts w:cs="Arial"/>
          <w:color w:val="000000" w:themeColor="text1"/>
          <w:szCs w:val="24"/>
          <w:lang w:val="en-US"/>
        </w:rPr>
      </w:pPr>
      <w:r w:rsidRPr="00D15197">
        <w:rPr>
          <w:rFonts w:cs="Arial"/>
          <w:color w:val="000000" w:themeColor="text1"/>
          <w:szCs w:val="24"/>
          <w:lang w:val="en-US"/>
        </w:rPr>
        <w:t>Where patients are interacting directly with a system that connects to the PDS, then there must be clear and robust identity validation processes in place.</w:t>
      </w:r>
    </w:p>
    <w:p w:rsidR="00FF0532" w:rsidRPr="00D15197" w:rsidRDefault="00FF0532" w:rsidP="00984D45">
      <w:pPr>
        <w:pStyle w:val="ListParagraph"/>
        <w:numPr>
          <w:ilvl w:val="0"/>
          <w:numId w:val="7"/>
        </w:numPr>
        <w:spacing w:after="120"/>
        <w:contextualSpacing w:val="0"/>
        <w:rPr>
          <w:rFonts w:cs="Arial"/>
          <w:color w:val="000000" w:themeColor="text1"/>
          <w:szCs w:val="24"/>
          <w:lang w:val="en-US"/>
        </w:rPr>
      </w:pPr>
      <w:r w:rsidRPr="00D15197">
        <w:rPr>
          <w:rFonts w:cs="Arial"/>
          <w:color w:val="000000" w:themeColor="text1"/>
          <w:szCs w:val="24"/>
          <w:lang w:val="en-US"/>
        </w:rPr>
        <w:t>Legal basis for the organisation accessing PDS data, based on the purpose.</w:t>
      </w:r>
    </w:p>
    <w:p w:rsidR="00FF0532" w:rsidRPr="00D15197" w:rsidRDefault="00FF0532" w:rsidP="00984D45">
      <w:pPr>
        <w:pStyle w:val="ListParagraph"/>
        <w:numPr>
          <w:ilvl w:val="0"/>
          <w:numId w:val="7"/>
        </w:numPr>
        <w:spacing w:after="120"/>
        <w:contextualSpacing w:val="0"/>
        <w:rPr>
          <w:rFonts w:cs="Arial"/>
          <w:color w:val="000000" w:themeColor="text1"/>
          <w:szCs w:val="24"/>
          <w:lang w:val="en-US"/>
        </w:rPr>
      </w:pPr>
      <w:r w:rsidRPr="00D15197">
        <w:rPr>
          <w:rFonts w:cs="Arial"/>
          <w:color w:val="000000" w:themeColor="text1"/>
          <w:szCs w:val="24"/>
          <w:lang w:val="en-US"/>
        </w:rPr>
        <w:t>Governance/IG arrangements, such as:</w:t>
      </w:r>
    </w:p>
    <w:p w:rsidR="00FF0532" w:rsidRPr="00D15197" w:rsidRDefault="00FF0532" w:rsidP="00984D45">
      <w:pPr>
        <w:pStyle w:val="ListParagraph"/>
        <w:numPr>
          <w:ilvl w:val="0"/>
          <w:numId w:val="9"/>
        </w:numPr>
        <w:spacing w:after="120"/>
        <w:ind w:left="1080"/>
        <w:contextualSpacing w:val="0"/>
        <w:rPr>
          <w:rFonts w:cs="Arial"/>
          <w:color w:val="000000" w:themeColor="text1"/>
          <w:szCs w:val="24"/>
          <w:lang w:val="en-US"/>
        </w:rPr>
      </w:pPr>
      <w:r w:rsidRPr="00D15197">
        <w:rPr>
          <w:rFonts w:cs="Arial"/>
          <w:color w:val="000000" w:themeColor="text1"/>
          <w:szCs w:val="24"/>
          <w:lang w:val="en-US"/>
        </w:rPr>
        <w:t xml:space="preserve">Data Sharing Framework Contract (DSFC), which may already be in place, and </w:t>
      </w:r>
      <w:r w:rsidR="004E7029" w:rsidRPr="00D15197">
        <w:rPr>
          <w:rFonts w:cs="Arial"/>
          <w:color w:val="000000" w:themeColor="text1"/>
          <w:szCs w:val="24"/>
          <w:lang w:val="en-US"/>
        </w:rPr>
        <w:t xml:space="preserve">any existing </w:t>
      </w:r>
      <w:r w:rsidRPr="00D15197">
        <w:rPr>
          <w:rFonts w:cs="Arial"/>
          <w:color w:val="000000" w:themeColor="text1"/>
          <w:szCs w:val="24"/>
          <w:lang w:val="en-US"/>
        </w:rPr>
        <w:t>Data Sharing Agreement</w:t>
      </w:r>
      <w:r w:rsidR="004E7029" w:rsidRPr="00D15197">
        <w:rPr>
          <w:rFonts w:cs="Arial"/>
          <w:color w:val="000000" w:themeColor="text1"/>
          <w:szCs w:val="24"/>
          <w:lang w:val="en-US"/>
        </w:rPr>
        <w:t>s</w:t>
      </w:r>
      <w:r w:rsidRPr="00D15197">
        <w:rPr>
          <w:rFonts w:cs="Arial"/>
          <w:color w:val="000000" w:themeColor="text1"/>
          <w:szCs w:val="24"/>
          <w:lang w:val="en-US"/>
        </w:rPr>
        <w:t xml:space="preserve"> (DSA</w:t>
      </w:r>
      <w:r w:rsidR="004E7029" w:rsidRPr="00D15197">
        <w:rPr>
          <w:rFonts w:cs="Arial"/>
          <w:color w:val="000000" w:themeColor="text1"/>
          <w:szCs w:val="24"/>
          <w:lang w:val="en-US"/>
        </w:rPr>
        <w:t>s</w:t>
      </w:r>
      <w:r w:rsidRPr="00D15197">
        <w:rPr>
          <w:rFonts w:cs="Arial"/>
          <w:color w:val="000000" w:themeColor="text1"/>
          <w:szCs w:val="24"/>
          <w:lang w:val="en-US"/>
        </w:rPr>
        <w:t>), between the requesting organisation and NHS Digital</w:t>
      </w:r>
      <w:r w:rsidR="00EC1AEE" w:rsidRPr="00D15197">
        <w:rPr>
          <w:rFonts w:cs="Arial"/>
          <w:color w:val="000000" w:themeColor="text1"/>
          <w:szCs w:val="24"/>
          <w:lang w:val="en-US"/>
        </w:rPr>
        <w:t>, noting that each purpose will have a separate DSA</w:t>
      </w:r>
      <w:r w:rsidRPr="00D15197">
        <w:rPr>
          <w:rFonts w:cs="Arial"/>
          <w:color w:val="000000" w:themeColor="text1"/>
          <w:szCs w:val="24"/>
          <w:lang w:val="en-US"/>
        </w:rPr>
        <w:t>.</w:t>
      </w:r>
    </w:p>
    <w:p w:rsidR="00FF0532" w:rsidRPr="00D15197" w:rsidRDefault="004D4740" w:rsidP="00984D45">
      <w:pPr>
        <w:pStyle w:val="ListParagraph"/>
        <w:numPr>
          <w:ilvl w:val="0"/>
          <w:numId w:val="9"/>
        </w:numPr>
        <w:spacing w:after="120"/>
        <w:ind w:left="1080"/>
        <w:contextualSpacing w:val="0"/>
        <w:rPr>
          <w:rFonts w:cs="Arial"/>
          <w:color w:val="000000" w:themeColor="text1"/>
          <w:szCs w:val="24"/>
          <w:lang w:val="en-US"/>
        </w:rPr>
      </w:pPr>
      <w:r w:rsidRPr="00D15197">
        <w:rPr>
          <w:rFonts w:cs="Arial"/>
          <w:color w:val="000000" w:themeColor="text1"/>
          <w:szCs w:val="24"/>
          <w:lang w:val="en-US"/>
        </w:rPr>
        <w:t>DSPT</w:t>
      </w:r>
      <w:r w:rsidR="00FF0532" w:rsidRPr="00D15197">
        <w:rPr>
          <w:rFonts w:cs="Arial"/>
          <w:color w:val="000000" w:themeColor="text1"/>
          <w:szCs w:val="24"/>
          <w:lang w:val="en-US"/>
        </w:rPr>
        <w:t xml:space="preserve"> compliance.</w:t>
      </w:r>
    </w:p>
    <w:p w:rsidR="00FF0532" w:rsidRPr="00D15197" w:rsidRDefault="00FF0532" w:rsidP="00984D45">
      <w:pPr>
        <w:pStyle w:val="ListParagraph"/>
        <w:numPr>
          <w:ilvl w:val="0"/>
          <w:numId w:val="9"/>
        </w:numPr>
        <w:spacing w:after="120"/>
        <w:ind w:left="1080"/>
        <w:contextualSpacing w:val="0"/>
        <w:rPr>
          <w:rFonts w:cs="Arial"/>
          <w:color w:val="000000" w:themeColor="text1"/>
          <w:szCs w:val="24"/>
          <w:lang w:val="en-US"/>
        </w:rPr>
      </w:pPr>
      <w:r w:rsidRPr="00D15197">
        <w:rPr>
          <w:rFonts w:cs="Arial"/>
          <w:color w:val="000000" w:themeColor="text1"/>
          <w:szCs w:val="24"/>
          <w:lang w:val="en-US"/>
        </w:rPr>
        <w:t xml:space="preserve">DPA Registration - to ensure that the requested data items are covered in the registration, including the </w:t>
      </w:r>
      <w:r w:rsidR="000A500A" w:rsidRPr="00D15197">
        <w:rPr>
          <w:rFonts w:cs="Arial"/>
          <w:color w:val="000000" w:themeColor="text1"/>
          <w:szCs w:val="24"/>
          <w:lang w:val="en-US"/>
        </w:rPr>
        <w:t xml:space="preserve">use of the </w:t>
      </w:r>
      <w:r w:rsidRPr="00D15197">
        <w:rPr>
          <w:rFonts w:cs="Arial"/>
          <w:color w:val="000000" w:themeColor="text1"/>
          <w:szCs w:val="24"/>
          <w:lang w:val="en-US"/>
        </w:rPr>
        <w:t>NHS Number.</w:t>
      </w:r>
    </w:p>
    <w:p w:rsidR="00FF0532" w:rsidRPr="00D15197" w:rsidRDefault="00FF0532" w:rsidP="00984D45">
      <w:pPr>
        <w:pStyle w:val="ListParagraph"/>
        <w:numPr>
          <w:ilvl w:val="0"/>
          <w:numId w:val="9"/>
        </w:numPr>
        <w:spacing w:after="120"/>
        <w:ind w:left="1080"/>
        <w:contextualSpacing w:val="0"/>
        <w:rPr>
          <w:rFonts w:cs="Arial"/>
          <w:color w:val="000000" w:themeColor="text1"/>
          <w:szCs w:val="24"/>
          <w:lang w:val="en-US"/>
        </w:rPr>
      </w:pPr>
      <w:r w:rsidRPr="00D15197">
        <w:rPr>
          <w:rFonts w:cs="Arial"/>
          <w:color w:val="000000" w:themeColor="text1"/>
          <w:szCs w:val="24"/>
          <w:lang w:val="en-US"/>
        </w:rPr>
        <w:t xml:space="preserve">Privacy Notice (PN) - especially to ensure compliance with the </w:t>
      </w:r>
      <w:hyperlink r:id="rId21" w:history="1">
        <w:r w:rsidRPr="00D15197">
          <w:rPr>
            <w:rStyle w:val="Hyperlink"/>
            <w:rFonts w:cs="Arial"/>
            <w:szCs w:val="24"/>
            <w:lang w:val="en-US"/>
          </w:rPr>
          <w:t>Information Commissioner’s Office (ICO) guidance</w:t>
        </w:r>
      </w:hyperlink>
      <w:r w:rsidRPr="00D15197">
        <w:rPr>
          <w:rFonts w:cs="Arial"/>
          <w:color w:val="000000" w:themeColor="text1"/>
          <w:szCs w:val="24"/>
          <w:lang w:val="en-US"/>
        </w:rPr>
        <w:t xml:space="preserve">.  Additional </w:t>
      </w:r>
      <w:r w:rsidR="000A500A" w:rsidRPr="00D15197">
        <w:rPr>
          <w:rFonts w:cs="Arial"/>
          <w:color w:val="000000" w:themeColor="text1"/>
          <w:szCs w:val="24"/>
          <w:lang w:val="en-US"/>
        </w:rPr>
        <w:t>criteria have been mandated</w:t>
      </w:r>
      <w:r w:rsidRPr="00D15197">
        <w:rPr>
          <w:rFonts w:cs="Arial"/>
          <w:color w:val="000000" w:themeColor="text1"/>
          <w:szCs w:val="24"/>
          <w:lang w:val="en-US"/>
        </w:rPr>
        <w:t xml:space="preserve">, indicating the PN </w:t>
      </w:r>
      <w:r w:rsidR="000A500A" w:rsidRPr="00D15197">
        <w:rPr>
          <w:rFonts w:cs="Arial"/>
          <w:color w:val="000000" w:themeColor="text1"/>
          <w:szCs w:val="24"/>
          <w:lang w:val="en-US"/>
        </w:rPr>
        <w:t xml:space="preserve">standards </w:t>
      </w:r>
      <w:r w:rsidRPr="00D15197">
        <w:rPr>
          <w:rFonts w:cs="Arial"/>
          <w:color w:val="000000" w:themeColor="text1"/>
          <w:szCs w:val="24"/>
          <w:lang w:val="en-US"/>
        </w:rPr>
        <w:t xml:space="preserve">that </w:t>
      </w:r>
      <w:r w:rsidRPr="00D15197">
        <w:rPr>
          <w:rFonts w:cs="Arial"/>
          <w:color w:val="000000" w:themeColor="text1"/>
          <w:szCs w:val="24"/>
          <w:u w:val="single"/>
          <w:lang w:val="en-US"/>
        </w:rPr>
        <w:t>must</w:t>
      </w:r>
      <w:r w:rsidRPr="00D15197">
        <w:rPr>
          <w:rFonts w:cs="Arial"/>
          <w:color w:val="000000" w:themeColor="text1"/>
          <w:szCs w:val="24"/>
          <w:lang w:val="en-US"/>
        </w:rPr>
        <w:t xml:space="preserve"> be covered in the PN to allow PDS access authority to be given - see Appendix B.</w:t>
      </w:r>
      <w:r w:rsidR="00FC371D" w:rsidRPr="00D15197">
        <w:rPr>
          <w:rFonts w:cs="Arial"/>
          <w:color w:val="000000" w:themeColor="text1"/>
          <w:szCs w:val="24"/>
          <w:lang w:val="en-US"/>
        </w:rPr>
        <w:t xml:space="preserve">  An </w:t>
      </w:r>
      <w:r w:rsidR="00FC371D" w:rsidRPr="00D15197">
        <w:rPr>
          <w:rFonts w:cs="Arial"/>
          <w:color w:val="000000" w:themeColor="text1"/>
          <w:szCs w:val="24"/>
        </w:rPr>
        <w:t>organisation’s</w:t>
      </w:r>
      <w:r w:rsidR="00FC371D" w:rsidRPr="00D15197">
        <w:rPr>
          <w:rFonts w:cs="Arial"/>
          <w:color w:val="000000" w:themeColor="text1"/>
          <w:szCs w:val="24"/>
          <w:lang w:val="en-US"/>
        </w:rPr>
        <w:t xml:space="preserve"> PN </w:t>
      </w:r>
      <w:r w:rsidR="00B32FE1" w:rsidRPr="00D15197">
        <w:rPr>
          <w:rFonts w:cs="Arial"/>
          <w:color w:val="000000" w:themeColor="text1"/>
          <w:szCs w:val="24"/>
          <w:lang w:val="en-US"/>
        </w:rPr>
        <w:t xml:space="preserve">will </w:t>
      </w:r>
      <w:r w:rsidR="00FC371D" w:rsidRPr="00D15197">
        <w:rPr>
          <w:rFonts w:cs="Arial"/>
          <w:color w:val="000000" w:themeColor="text1"/>
          <w:szCs w:val="24"/>
          <w:lang w:val="en-US"/>
        </w:rPr>
        <w:t>be reviewed for compliance with the Appendix B criteria.</w:t>
      </w:r>
      <w:r w:rsidR="00B32FE1" w:rsidRPr="00D15197">
        <w:rPr>
          <w:rFonts w:cs="Arial"/>
          <w:color w:val="000000" w:themeColor="text1"/>
          <w:szCs w:val="24"/>
          <w:lang w:val="en-US"/>
        </w:rPr>
        <w:t xml:space="preserve">  </w:t>
      </w:r>
      <w:r w:rsidR="0088404F" w:rsidRPr="00D15197">
        <w:rPr>
          <w:rFonts w:cs="Arial"/>
          <w:color w:val="000000" w:themeColor="text1"/>
          <w:szCs w:val="24"/>
          <w:lang w:val="en-US"/>
        </w:rPr>
        <w:t>A</w:t>
      </w:r>
      <w:r w:rsidR="00B32FE1" w:rsidRPr="00D15197">
        <w:rPr>
          <w:rFonts w:cs="Arial"/>
          <w:color w:val="000000" w:themeColor="text1"/>
          <w:szCs w:val="24"/>
          <w:lang w:val="en-US"/>
        </w:rPr>
        <w:t xml:space="preserve"> model PN is available.</w:t>
      </w:r>
    </w:p>
    <w:p w:rsidR="00FF0532" w:rsidRPr="00D15197" w:rsidRDefault="00FF0532" w:rsidP="00984D45">
      <w:pPr>
        <w:pStyle w:val="ListParagraph"/>
        <w:numPr>
          <w:ilvl w:val="0"/>
          <w:numId w:val="9"/>
        </w:numPr>
        <w:spacing w:after="120"/>
        <w:ind w:left="1080"/>
        <w:contextualSpacing w:val="0"/>
        <w:rPr>
          <w:rFonts w:cs="Arial"/>
          <w:color w:val="000000" w:themeColor="text1"/>
          <w:szCs w:val="24"/>
          <w:lang w:val="en-US"/>
        </w:rPr>
      </w:pPr>
      <w:r w:rsidRPr="00D15197">
        <w:rPr>
          <w:rFonts w:cs="Arial"/>
          <w:color w:val="000000" w:themeColor="text1"/>
          <w:szCs w:val="24"/>
          <w:lang w:val="en-US"/>
        </w:rPr>
        <w:t xml:space="preserve">Types of end users of data, and the associated </w:t>
      </w:r>
      <w:r w:rsidR="00EC1AEE" w:rsidRPr="00D15197">
        <w:rPr>
          <w:rFonts w:cs="Arial"/>
          <w:color w:val="000000" w:themeColor="text1"/>
          <w:szCs w:val="24"/>
          <w:lang w:val="en-US"/>
        </w:rPr>
        <w:t xml:space="preserve">local </w:t>
      </w:r>
      <w:r w:rsidRPr="00D15197">
        <w:rPr>
          <w:rFonts w:cs="Arial"/>
          <w:color w:val="000000" w:themeColor="text1"/>
          <w:szCs w:val="24"/>
          <w:lang w:val="en-US"/>
        </w:rPr>
        <w:t>security and RBAC policies.</w:t>
      </w:r>
    </w:p>
    <w:p w:rsidR="005B3E8F" w:rsidRPr="00D15197" w:rsidRDefault="005B3E8F" w:rsidP="00DC46F5">
      <w:pPr>
        <w:rPr>
          <w:rFonts w:cs="Arial"/>
          <w:color w:val="000000" w:themeColor="text1"/>
          <w:szCs w:val="24"/>
          <w:lang w:val="en-US"/>
        </w:rPr>
      </w:pPr>
    </w:p>
    <w:p w:rsidR="00D22854" w:rsidRPr="00D15197" w:rsidRDefault="00D22854" w:rsidP="00DC46F5">
      <w:pPr>
        <w:rPr>
          <w:rFonts w:cs="Arial"/>
          <w:color w:val="000000" w:themeColor="text1"/>
          <w:szCs w:val="24"/>
          <w:lang w:val="en-US"/>
        </w:rPr>
      </w:pPr>
      <w:r w:rsidRPr="00D15197">
        <w:rPr>
          <w:rFonts w:cs="Arial"/>
          <w:color w:val="000000" w:themeColor="text1"/>
          <w:szCs w:val="24"/>
          <w:lang w:val="en-US"/>
        </w:rPr>
        <w:t xml:space="preserve">Requests are processed using the DARS Online system.  This requires requesting </w:t>
      </w:r>
      <w:proofErr w:type="spellStart"/>
      <w:r w:rsidRPr="00D15197">
        <w:rPr>
          <w:rFonts w:cs="Arial"/>
          <w:color w:val="000000" w:themeColor="text1"/>
          <w:szCs w:val="24"/>
          <w:lang w:val="en-US"/>
        </w:rPr>
        <w:t>organi</w:t>
      </w:r>
      <w:r w:rsidR="00013C1E" w:rsidRPr="00D15197">
        <w:rPr>
          <w:rFonts w:cs="Arial"/>
          <w:color w:val="000000" w:themeColor="text1"/>
          <w:szCs w:val="24"/>
          <w:lang w:val="en-US"/>
        </w:rPr>
        <w:t>s</w:t>
      </w:r>
      <w:r w:rsidRPr="00D15197">
        <w:rPr>
          <w:rFonts w:cs="Arial"/>
          <w:color w:val="000000" w:themeColor="text1"/>
          <w:szCs w:val="24"/>
          <w:lang w:val="en-US"/>
        </w:rPr>
        <w:t>ation</w:t>
      </w:r>
      <w:proofErr w:type="spellEnd"/>
      <w:r w:rsidRPr="00D15197">
        <w:rPr>
          <w:rFonts w:cs="Arial"/>
          <w:color w:val="000000" w:themeColor="text1"/>
          <w:szCs w:val="24"/>
          <w:lang w:val="en-US"/>
        </w:rPr>
        <w:t xml:space="preserve"> contacts and legal agreement signatories to log on with credentials provided by NHS Digital.</w:t>
      </w:r>
    </w:p>
    <w:p w:rsidR="00D22854" w:rsidRPr="00D15197" w:rsidRDefault="00D22854" w:rsidP="00DC46F5">
      <w:pPr>
        <w:rPr>
          <w:rFonts w:cs="Arial"/>
          <w:color w:val="000000" w:themeColor="text1"/>
          <w:szCs w:val="24"/>
          <w:lang w:val="en-US"/>
        </w:rPr>
      </w:pPr>
    </w:p>
    <w:p w:rsidR="00FF0532" w:rsidRPr="00D15197" w:rsidRDefault="005B3E8F" w:rsidP="00DC46F5">
      <w:r w:rsidRPr="00D15197">
        <w:rPr>
          <w:rFonts w:cs="Arial"/>
          <w:color w:val="000000" w:themeColor="text1"/>
          <w:szCs w:val="24"/>
          <w:lang w:val="en-US"/>
        </w:rPr>
        <w:t>T</w:t>
      </w:r>
      <w:r w:rsidR="00FF0532" w:rsidRPr="00D15197">
        <w:rPr>
          <w:rFonts w:cs="Arial"/>
          <w:color w:val="000000" w:themeColor="text1"/>
          <w:szCs w:val="24"/>
          <w:lang w:val="en-US"/>
        </w:rPr>
        <w:t xml:space="preserve">his may result in the need to refer a request to the </w:t>
      </w:r>
      <w:hyperlink r:id="rId22" w:history="1">
        <w:r w:rsidR="00FF0532" w:rsidRPr="00D15197">
          <w:rPr>
            <w:rStyle w:val="Hyperlink"/>
            <w:rFonts w:cs="Arial"/>
            <w:szCs w:val="24"/>
            <w:lang w:val="en-US"/>
          </w:rPr>
          <w:t>Independent Group Advising on the Release of Data</w:t>
        </w:r>
      </w:hyperlink>
      <w:r w:rsidR="00FF0532" w:rsidRPr="00D15197">
        <w:rPr>
          <w:rFonts w:cs="Arial"/>
          <w:color w:val="000000" w:themeColor="text1"/>
          <w:szCs w:val="24"/>
          <w:lang w:val="en-US"/>
        </w:rPr>
        <w:t xml:space="preserve"> (IGARD) for advice and (if required) a recommendation to disseminate</w:t>
      </w:r>
      <w:r w:rsidR="00FF0532" w:rsidRPr="00D15197">
        <w:rPr>
          <w:rStyle w:val="FootnoteReference"/>
          <w:rFonts w:cs="Arial"/>
          <w:b/>
          <w:color w:val="000000" w:themeColor="text1"/>
          <w:szCs w:val="24"/>
          <w:lang w:val="en-US"/>
        </w:rPr>
        <w:footnoteReference w:id="2"/>
      </w:r>
      <w:r w:rsidR="00FF0532" w:rsidRPr="00D15197">
        <w:rPr>
          <w:rFonts w:cs="Arial"/>
          <w:color w:val="000000" w:themeColor="text1"/>
          <w:szCs w:val="24"/>
          <w:lang w:val="en-US"/>
        </w:rPr>
        <w:t>.</w:t>
      </w:r>
    </w:p>
    <w:p w:rsidR="00FF0532" w:rsidRPr="00D15197" w:rsidRDefault="00FF0532"/>
    <w:p w:rsidR="0070135E" w:rsidRPr="00D15197" w:rsidRDefault="0070135E"/>
    <w:p w:rsidR="00D22854" w:rsidRPr="00D15197" w:rsidRDefault="00D22854">
      <w:pPr>
        <w:rPr>
          <w:b/>
          <w:sz w:val="28"/>
          <w:szCs w:val="28"/>
        </w:rPr>
      </w:pPr>
      <w:r w:rsidRPr="00D15197">
        <w:rPr>
          <w:b/>
          <w:sz w:val="28"/>
          <w:szCs w:val="28"/>
        </w:rPr>
        <w:br w:type="page"/>
      </w:r>
    </w:p>
    <w:p w:rsidR="0070135E" w:rsidRPr="00D15197" w:rsidRDefault="0070135E">
      <w:pPr>
        <w:rPr>
          <w:b/>
          <w:sz w:val="28"/>
          <w:szCs w:val="28"/>
        </w:rPr>
      </w:pPr>
      <w:r w:rsidRPr="00D15197">
        <w:rPr>
          <w:b/>
          <w:sz w:val="28"/>
          <w:szCs w:val="28"/>
        </w:rPr>
        <w:t>Legal Agreements</w:t>
      </w:r>
    </w:p>
    <w:p w:rsidR="0070135E" w:rsidRPr="00D15197" w:rsidRDefault="0070135E"/>
    <w:p w:rsidR="000C53D7" w:rsidRPr="00D15197" w:rsidRDefault="00FF0532" w:rsidP="00DC46F5">
      <w:r w:rsidRPr="00D15197">
        <w:t xml:space="preserve">The </w:t>
      </w:r>
      <w:r w:rsidR="000A500A" w:rsidRPr="00D15197">
        <w:t xml:space="preserve">legal </w:t>
      </w:r>
      <w:r w:rsidRPr="00D15197">
        <w:t>relationship is between NHS Digital and an organisation requesting the PDS data.  It is not with a service and/or system supplier facilitating access to the PDS.  Where there is a service and/or system supplier, then information is required about the supplier involved, and the nature of the service and/or system provided.  Where a system/service provider is operating as an aggregator</w:t>
      </w:r>
      <w:r w:rsidRPr="00D15197">
        <w:rPr>
          <w:rStyle w:val="FootnoteReference"/>
          <w:b/>
        </w:rPr>
        <w:footnoteReference w:id="3"/>
      </w:r>
      <w:r w:rsidRPr="00D15197">
        <w:t>,</w:t>
      </w:r>
      <w:r w:rsidR="005C45F6" w:rsidRPr="00D15197">
        <w:t xml:space="preserve"> then separate agreements </w:t>
      </w:r>
      <w:r w:rsidR="003F3FF4" w:rsidRPr="00D15197">
        <w:t>may be</w:t>
      </w:r>
      <w:r w:rsidR="005C45F6" w:rsidRPr="00D15197">
        <w:t xml:space="preserve"> required for each organisation served.</w:t>
      </w:r>
      <w:r w:rsidR="00E30C9A" w:rsidRPr="00D15197">
        <w:t xml:space="preserve">  The system/service provider may facilitate this on behalf of its client organisations.</w:t>
      </w:r>
    </w:p>
    <w:p w:rsidR="00013C1E" w:rsidRPr="00D15197" w:rsidRDefault="00013C1E" w:rsidP="00DC46F5"/>
    <w:p w:rsidR="00013C1E" w:rsidRPr="00D15197" w:rsidRDefault="00013C1E" w:rsidP="00DC46F5">
      <w:r w:rsidRPr="00D15197">
        <w:t>The requesting organisation’s signatory for both DSFCs and DSAs will normally the organisation’s Senior Information Risk Owner (SIRO), or a person with equivalent responsibilities.</w:t>
      </w:r>
    </w:p>
    <w:p w:rsidR="007E0C15" w:rsidRPr="00D15197" w:rsidRDefault="007E0C15" w:rsidP="00DC46F5"/>
    <w:p w:rsidR="00DB2B73" w:rsidRPr="00D15197" w:rsidRDefault="00DB2B73" w:rsidP="00DC46F5">
      <w:pPr>
        <w:rPr>
          <w:b/>
          <w:sz w:val="28"/>
          <w:szCs w:val="28"/>
        </w:rPr>
      </w:pPr>
    </w:p>
    <w:p w:rsidR="0006339B" w:rsidRPr="00D15197" w:rsidRDefault="0006339B" w:rsidP="00DC46F5">
      <w:pPr>
        <w:rPr>
          <w:sz w:val="28"/>
          <w:szCs w:val="28"/>
        </w:rPr>
      </w:pPr>
      <w:r w:rsidRPr="00D15197">
        <w:rPr>
          <w:b/>
          <w:sz w:val="28"/>
          <w:szCs w:val="28"/>
        </w:rPr>
        <w:t>Information needed for an initial request</w:t>
      </w:r>
    </w:p>
    <w:p w:rsidR="000C53D7" w:rsidRPr="00D15197" w:rsidRDefault="000C53D7" w:rsidP="00DC46F5"/>
    <w:p w:rsidR="0006339B" w:rsidRPr="00D15197" w:rsidRDefault="00E31CB1" w:rsidP="00DC46F5">
      <w:r w:rsidRPr="00D15197">
        <w:t>An organisation requesting access to the PDS for the first time</w:t>
      </w:r>
      <w:r w:rsidR="00E30C9A" w:rsidRPr="00D15197">
        <w:t>, or a system/service provider aggregator on behalf of an end user organisation,</w:t>
      </w:r>
      <w:r w:rsidRPr="00D15197">
        <w:t xml:space="preserve"> should send an email to the NHS Digital Contact Centre - </w:t>
      </w:r>
      <w:hyperlink r:id="rId23" w:history="1">
        <w:r w:rsidRPr="00D15197">
          <w:rPr>
            <w:rStyle w:val="Hyperlink"/>
          </w:rPr>
          <w:t>enquries@nhsdigital.nhs.uk</w:t>
        </w:r>
      </w:hyperlink>
      <w:r w:rsidRPr="00D15197">
        <w:t xml:space="preserve">.  The email content should be of </w:t>
      </w:r>
      <w:r w:rsidR="00684190" w:rsidRPr="00D15197">
        <w:t>the form given in Appendix A.</w:t>
      </w:r>
    </w:p>
    <w:p w:rsidR="00684190" w:rsidRPr="00D15197" w:rsidRDefault="00684190" w:rsidP="00684190"/>
    <w:p w:rsidR="00684190" w:rsidRPr="00D15197" w:rsidRDefault="00684190" w:rsidP="00684190">
      <w:r w:rsidRPr="00D15197">
        <w:t xml:space="preserve">This enquiry will be logged by the Contact Centre and allocated a unique </w:t>
      </w:r>
      <w:r w:rsidR="004E7029" w:rsidRPr="00D15197">
        <w:t xml:space="preserve">(NIC) </w:t>
      </w:r>
      <w:r w:rsidRPr="00D15197">
        <w:t xml:space="preserve">reference, which should be used in the subject line of </w:t>
      </w:r>
      <w:r w:rsidRPr="00D15197">
        <w:rPr>
          <w:u w:val="single"/>
        </w:rPr>
        <w:t>all</w:t>
      </w:r>
      <w:r w:rsidRPr="00D15197">
        <w:t xml:space="preserve"> subsequent email exchanges.</w:t>
      </w:r>
    </w:p>
    <w:p w:rsidR="004E7029" w:rsidRPr="00D15197" w:rsidRDefault="004E7029" w:rsidP="00684190"/>
    <w:p w:rsidR="004E7029" w:rsidRPr="00D15197" w:rsidRDefault="004E7029" w:rsidP="00684190">
      <w:r w:rsidRPr="00D15197">
        <w:t>If there is already a NIC reference for the subject case, then this email need not be sent.</w:t>
      </w:r>
    </w:p>
    <w:p w:rsidR="00BF16E6" w:rsidRPr="00D15197" w:rsidRDefault="00BF16E6" w:rsidP="00684190"/>
    <w:p w:rsidR="00254571" w:rsidRPr="00D15197" w:rsidRDefault="00254571">
      <w:r w:rsidRPr="00D15197">
        <w:br w:type="page"/>
      </w:r>
    </w:p>
    <w:p w:rsidR="00684190" w:rsidRPr="00D15197" w:rsidRDefault="00684190" w:rsidP="00DC46F5">
      <w:pPr>
        <w:rPr>
          <w:b/>
          <w:sz w:val="28"/>
          <w:szCs w:val="28"/>
        </w:rPr>
      </w:pPr>
      <w:r w:rsidRPr="00D15197">
        <w:rPr>
          <w:b/>
          <w:sz w:val="28"/>
          <w:szCs w:val="28"/>
        </w:rPr>
        <w:t>Appendix A - Initial PDS Access Request Email</w:t>
      </w:r>
    </w:p>
    <w:p w:rsidR="00684190" w:rsidRPr="00D15197" w:rsidRDefault="00684190" w:rsidP="00DC46F5">
      <w:pPr>
        <w:pBdr>
          <w:bottom w:val="single" w:sz="6" w:space="1" w:color="auto"/>
        </w:pBdr>
      </w:pPr>
    </w:p>
    <w:p w:rsidR="00923D4A" w:rsidRPr="00D15197" w:rsidRDefault="00923D4A" w:rsidP="00DC46F5"/>
    <w:p w:rsidR="004D372E" w:rsidRPr="00D15197" w:rsidRDefault="004D372E" w:rsidP="004D372E">
      <w:pPr>
        <w:tabs>
          <w:tab w:val="left" w:pos="3000"/>
        </w:tabs>
        <w:adjustRightInd w:val="0"/>
        <w:ind w:left="3000" w:hanging="3000"/>
        <w:rPr>
          <w:rFonts w:cs="Arial"/>
          <w:color w:val="000000"/>
          <w:szCs w:val="22"/>
        </w:rPr>
      </w:pPr>
      <w:r w:rsidRPr="00D15197">
        <w:rPr>
          <w:rFonts w:cs="Arial"/>
          <w:b/>
          <w:bCs/>
          <w:color w:val="000000"/>
          <w:szCs w:val="22"/>
        </w:rPr>
        <w:t>To:</w:t>
      </w:r>
      <w:r w:rsidR="00DD0CDE" w:rsidRPr="00D15197">
        <w:rPr>
          <w:rFonts w:cs="Arial"/>
          <w:b/>
          <w:bCs/>
          <w:color w:val="000000"/>
          <w:szCs w:val="22"/>
        </w:rPr>
        <w:t xml:space="preserve">           </w:t>
      </w:r>
      <w:r w:rsidRPr="00D15197">
        <w:rPr>
          <w:rFonts w:cs="Arial"/>
          <w:color w:val="000000"/>
          <w:szCs w:val="22"/>
        </w:rPr>
        <w:t>enquiries@nhsdigital.nhs.uk</w:t>
      </w:r>
    </w:p>
    <w:p w:rsidR="004D372E" w:rsidRPr="00D15197" w:rsidRDefault="00DD0CDE" w:rsidP="004D372E">
      <w:pPr>
        <w:tabs>
          <w:tab w:val="left" w:pos="3000"/>
        </w:tabs>
        <w:adjustRightInd w:val="0"/>
        <w:ind w:left="3000" w:hanging="3000"/>
        <w:rPr>
          <w:rFonts w:cs="Arial"/>
          <w:color w:val="000000"/>
          <w:szCs w:val="22"/>
        </w:rPr>
      </w:pPr>
      <w:r w:rsidRPr="00D15197">
        <w:rPr>
          <w:rFonts w:cs="Arial"/>
          <w:b/>
          <w:bCs/>
          <w:color w:val="000000"/>
          <w:szCs w:val="22"/>
        </w:rPr>
        <w:t xml:space="preserve">Subject:  </w:t>
      </w:r>
      <w:r w:rsidR="004D372E" w:rsidRPr="00D15197">
        <w:rPr>
          <w:rFonts w:cs="Arial"/>
          <w:color w:val="000000"/>
          <w:szCs w:val="22"/>
        </w:rPr>
        <w:t>PDS Access Request - FULL ORGANISATION NAME</w:t>
      </w:r>
    </w:p>
    <w:p w:rsidR="004D372E" w:rsidRPr="00D15197" w:rsidRDefault="004D372E" w:rsidP="004D372E">
      <w:pPr>
        <w:rPr>
          <w:rFonts w:cs="Arial"/>
          <w:szCs w:val="22"/>
        </w:rPr>
      </w:pPr>
    </w:p>
    <w:p w:rsidR="009F562F" w:rsidRPr="00D15197" w:rsidRDefault="009F562F" w:rsidP="004D372E">
      <w:pPr>
        <w:rPr>
          <w:rFonts w:cstheme="minorBidi"/>
          <w:sz w:val="20"/>
        </w:rPr>
      </w:pPr>
      <w:r w:rsidRPr="00D15197">
        <w:rPr>
          <w:rFonts w:cstheme="minorBidi"/>
          <w:i/>
          <w:sz w:val="20"/>
        </w:rPr>
        <w:t>DELETE THE ELEMENTS THAT ARE NOT APPLICABLE</w:t>
      </w:r>
      <w:r w:rsidR="00254571" w:rsidRPr="00D15197">
        <w:rPr>
          <w:rFonts w:cstheme="minorBidi"/>
          <w:sz w:val="20"/>
        </w:rPr>
        <w:t xml:space="preserve"> </w:t>
      </w:r>
    </w:p>
    <w:p w:rsidR="009F562F" w:rsidRPr="00D15197" w:rsidRDefault="009F562F" w:rsidP="004D372E">
      <w:pPr>
        <w:rPr>
          <w:rFonts w:cs="Arial"/>
          <w:szCs w:val="22"/>
        </w:rPr>
      </w:pPr>
    </w:p>
    <w:p w:rsidR="004D372E" w:rsidRPr="00D15197" w:rsidRDefault="0018019A" w:rsidP="004D372E">
      <w:pPr>
        <w:rPr>
          <w:rFonts w:cstheme="minorBidi"/>
          <w:szCs w:val="22"/>
        </w:rPr>
      </w:pPr>
      <w:r w:rsidRPr="00D15197">
        <w:rPr>
          <w:rFonts w:cstheme="minorBidi"/>
          <w:szCs w:val="22"/>
        </w:rPr>
        <w:t xml:space="preserve">&lt; </w:t>
      </w:r>
      <w:r w:rsidRPr="00D15197">
        <w:rPr>
          <w:rFonts w:cstheme="minorBidi"/>
          <w:i/>
          <w:szCs w:val="22"/>
        </w:rPr>
        <w:t>ORGANISATION NAME</w:t>
      </w:r>
      <w:r w:rsidRPr="00D15197">
        <w:rPr>
          <w:rFonts w:cstheme="minorBidi"/>
          <w:szCs w:val="22"/>
        </w:rPr>
        <w:t xml:space="preserve"> &gt;</w:t>
      </w:r>
      <w:r w:rsidR="004D372E" w:rsidRPr="00D15197">
        <w:rPr>
          <w:rFonts w:cstheme="minorBidi"/>
          <w:szCs w:val="22"/>
        </w:rPr>
        <w:t xml:space="preserve"> request</w:t>
      </w:r>
      <w:r w:rsidRPr="00D15197">
        <w:rPr>
          <w:rFonts w:cstheme="minorBidi"/>
          <w:szCs w:val="22"/>
        </w:rPr>
        <w:t>s</w:t>
      </w:r>
      <w:r w:rsidR="004D372E" w:rsidRPr="00D15197">
        <w:rPr>
          <w:rFonts w:cstheme="minorBidi"/>
          <w:szCs w:val="22"/>
        </w:rPr>
        <w:t xml:space="preserve"> access to the PDS for the purpose of &lt; </w:t>
      </w:r>
      <w:r w:rsidR="004D372E" w:rsidRPr="00D15197">
        <w:rPr>
          <w:rFonts w:cstheme="minorBidi"/>
          <w:i/>
          <w:szCs w:val="22"/>
        </w:rPr>
        <w:t>brief summary of the purpose</w:t>
      </w:r>
      <w:r w:rsidR="004D372E" w:rsidRPr="00D15197">
        <w:rPr>
          <w:rFonts w:cstheme="minorBidi"/>
          <w:szCs w:val="22"/>
        </w:rPr>
        <w:t xml:space="preserve"> &gt;</w:t>
      </w:r>
      <w:r w:rsidR="009F562F" w:rsidRPr="00D15197">
        <w:rPr>
          <w:rFonts w:cstheme="minorBidi"/>
          <w:szCs w:val="22"/>
        </w:rPr>
        <w:t xml:space="preserve">, using the &lt; </w:t>
      </w:r>
      <w:r w:rsidR="009F562F" w:rsidRPr="00D15197">
        <w:rPr>
          <w:rFonts w:cstheme="minorBidi"/>
          <w:i/>
          <w:szCs w:val="22"/>
        </w:rPr>
        <w:t>access method</w:t>
      </w:r>
      <w:r w:rsidR="009F562F" w:rsidRPr="00D15197">
        <w:rPr>
          <w:rFonts w:cstheme="minorBidi"/>
          <w:szCs w:val="22"/>
        </w:rPr>
        <w:t xml:space="preserve"> &gt; access method</w:t>
      </w:r>
      <w:r w:rsidR="004D372E" w:rsidRPr="00D15197">
        <w:rPr>
          <w:rFonts w:cstheme="minorBidi"/>
          <w:szCs w:val="22"/>
        </w:rPr>
        <w:t>.</w:t>
      </w:r>
    </w:p>
    <w:p w:rsidR="00064129" w:rsidRPr="00D15197" w:rsidRDefault="00064129" w:rsidP="004D372E">
      <w:pPr>
        <w:rPr>
          <w:rFonts w:cstheme="minorBidi"/>
          <w:szCs w:val="22"/>
        </w:rPr>
      </w:pPr>
    </w:p>
    <w:p w:rsidR="00064129" w:rsidRPr="00D15197" w:rsidRDefault="00064129" w:rsidP="004D372E">
      <w:pPr>
        <w:rPr>
          <w:rFonts w:cstheme="minorBidi"/>
          <w:szCs w:val="22"/>
        </w:rPr>
      </w:pPr>
      <w:r w:rsidRPr="00D15197">
        <w:rPr>
          <w:rFonts w:cstheme="minorBidi"/>
          <w:szCs w:val="22"/>
        </w:rPr>
        <w:t xml:space="preserve">&lt; </w:t>
      </w:r>
      <w:r w:rsidRPr="00D15197">
        <w:rPr>
          <w:rFonts w:cstheme="minorBidi"/>
          <w:i/>
          <w:szCs w:val="22"/>
        </w:rPr>
        <w:t>provide a context diagram, if this is a non-standard or novel case</w:t>
      </w:r>
      <w:r w:rsidRPr="00D15197">
        <w:rPr>
          <w:rFonts w:cstheme="minorBidi"/>
          <w:szCs w:val="22"/>
        </w:rPr>
        <w:t xml:space="preserve"> &gt;</w:t>
      </w:r>
    </w:p>
    <w:p w:rsidR="00C301F5" w:rsidRPr="00D15197" w:rsidRDefault="00C301F5" w:rsidP="004D372E">
      <w:pPr>
        <w:rPr>
          <w:rFonts w:cstheme="minorBidi"/>
          <w:szCs w:val="22"/>
        </w:rPr>
      </w:pPr>
    </w:p>
    <w:p w:rsidR="00C301F5" w:rsidRPr="00D15197" w:rsidRDefault="00C301F5" w:rsidP="004D372E">
      <w:pPr>
        <w:rPr>
          <w:rFonts w:cstheme="minorBidi"/>
          <w:szCs w:val="22"/>
        </w:rPr>
      </w:pPr>
      <w:r w:rsidRPr="00D15197">
        <w:rPr>
          <w:rFonts w:cstheme="minorBidi"/>
          <w:szCs w:val="22"/>
        </w:rPr>
        <w:t xml:space="preserve">Please send further information about the &lt; </w:t>
      </w:r>
      <w:r w:rsidRPr="00D15197">
        <w:rPr>
          <w:rFonts w:cstheme="minorBidi"/>
          <w:i/>
          <w:szCs w:val="22"/>
        </w:rPr>
        <w:t>access method</w:t>
      </w:r>
      <w:r w:rsidRPr="00D15197">
        <w:rPr>
          <w:rFonts w:cstheme="minorBidi"/>
          <w:szCs w:val="22"/>
        </w:rPr>
        <w:t xml:space="preserve"> &gt; access method.</w:t>
      </w:r>
    </w:p>
    <w:p w:rsidR="004D372E" w:rsidRPr="00D15197" w:rsidRDefault="004D372E" w:rsidP="004D372E">
      <w:pPr>
        <w:rPr>
          <w:rFonts w:cstheme="minorBidi"/>
          <w:szCs w:val="22"/>
        </w:rPr>
      </w:pPr>
    </w:p>
    <w:p w:rsidR="004D372E" w:rsidRPr="00D15197" w:rsidRDefault="0018019A" w:rsidP="004D372E">
      <w:pPr>
        <w:rPr>
          <w:rFonts w:cstheme="minorBidi"/>
          <w:szCs w:val="22"/>
        </w:rPr>
      </w:pPr>
      <w:r w:rsidRPr="00D15197">
        <w:rPr>
          <w:rFonts w:cstheme="minorBidi"/>
          <w:szCs w:val="22"/>
        </w:rPr>
        <w:t>This organisation</w:t>
      </w:r>
      <w:r w:rsidR="004D372E" w:rsidRPr="00D15197">
        <w:rPr>
          <w:rFonts w:cstheme="minorBidi"/>
          <w:szCs w:val="22"/>
        </w:rPr>
        <w:t xml:space="preserve"> currently </w:t>
      </w:r>
      <w:r w:rsidRPr="00D15197">
        <w:rPr>
          <w:rFonts w:cstheme="minorBidi"/>
          <w:szCs w:val="22"/>
        </w:rPr>
        <w:t>has</w:t>
      </w:r>
      <w:r w:rsidR="004D372E" w:rsidRPr="00D15197">
        <w:rPr>
          <w:rFonts w:cstheme="minorBidi"/>
          <w:szCs w:val="22"/>
        </w:rPr>
        <w:t xml:space="preserve"> access to the PDS for the purpose of &lt; </w:t>
      </w:r>
      <w:r w:rsidR="004D372E" w:rsidRPr="00D15197">
        <w:rPr>
          <w:rFonts w:cstheme="minorBidi"/>
          <w:i/>
          <w:szCs w:val="22"/>
        </w:rPr>
        <w:t>brief summary of the purpose</w:t>
      </w:r>
      <w:r w:rsidR="00DD0CDE" w:rsidRPr="00D15197">
        <w:rPr>
          <w:rFonts w:cstheme="minorBidi"/>
          <w:szCs w:val="22"/>
        </w:rPr>
        <w:t>&gt;</w:t>
      </w:r>
      <w:r w:rsidR="00B6085F" w:rsidRPr="00D15197">
        <w:rPr>
          <w:rFonts w:cstheme="minorBidi"/>
          <w:szCs w:val="22"/>
        </w:rPr>
        <w:t xml:space="preserve">, using the &lt; </w:t>
      </w:r>
      <w:r w:rsidR="00B6085F" w:rsidRPr="00D15197">
        <w:rPr>
          <w:rFonts w:cstheme="minorBidi"/>
          <w:i/>
          <w:szCs w:val="22"/>
        </w:rPr>
        <w:t>access method</w:t>
      </w:r>
      <w:r w:rsidR="00B6085F" w:rsidRPr="00D15197">
        <w:rPr>
          <w:rFonts w:cstheme="minorBidi"/>
          <w:szCs w:val="22"/>
        </w:rPr>
        <w:t xml:space="preserve"> &gt; access method.</w:t>
      </w:r>
    </w:p>
    <w:p w:rsidR="00A35FC9" w:rsidRPr="00D15197" w:rsidRDefault="00A35FC9" w:rsidP="004D372E">
      <w:pPr>
        <w:rPr>
          <w:rFonts w:cstheme="minorBidi"/>
          <w:szCs w:val="22"/>
        </w:rPr>
      </w:pPr>
    </w:p>
    <w:p w:rsidR="004D372E" w:rsidRPr="00D15197" w:rsidRDefault="00A35FC9" w:rsidP="004D372E">
      <w:pPr>
        <w:rPr>
          <w:rFonts w:cstheme="minorBidi"/>
          <w:szCs w:val="22"/>
        </w:rPr>
      </w:pPr>
      <w:r w:rsidRPr="00D15197">
        <w:rPr>
          <w:rFonts w:cstheme="minorBidi"/>
          <w:szCs w:val="22"/>
        </w:rPr>
        <w:t xml:space="preserve">The existing Data Sharing Framework Contract reference is &lt; </w:t>
      </w:r>
      <w:r w:rsidRPr="00D15197">
        <w:rPr>
          <w:rFonts w:cstheme="minorBidi"/>
          <w:i/>
          <w:szCs w:val="22"/>
        </w:rPr>
        <w:t>reference</w:t>
      </w:r>
      <w:r w:rsidR="0018019A" w:rsidRPr="00D15197">
        <w:rPr>
          <w:rFonts w:cstheme="minorBidi"/>
          <w:szCs w:val="22"/>
        </w:rPr>
        <w:t xml:space="preserve"> &gt;</w:t>
      </w:r>
      <w:r w:rsidRPr="00D15197">
        <w:rPr>
          <w:rFonts w:cstheme="minorBidi"/>
          <w:szCs w:val="22"/>
        </w:rPr>
        <w:t xml:space="preserve"> and the expiry date is &lt; </w:t>
      </w:r>
      <w:r w:rsidRPr="00D15197">
        <w:rPr>
          <w:rFonts w:cstheme="minorBidi"/>
          <w:i/>
          <w:szCs w:val="22"/>
        </w:rPr>
        <w:t>date</w:t>
      </w:r>
      <w:r w:rsidRPr="00D15197">
        <w:rPr>
          <w:rFonts w:cstheme="minorBidi"/>
          <w:szCs w:val="22"/>
        </w:rPr>
        <w:t xml:space="preserve"> &gt;.</w:t>
      </w:r>
    </w:p>
    <w:p w:rsidR="00A35FC9" w:rsidRPr="00D15197" w:rsidRDefault="00A35FC9" w:rsidP="004D372E">
      <w:pPr>
        <w:rPr>
          <w:rFonts w:cstheme="minorBidi"/>
          <w:szCs w:val="22"/>
        </w:rPr>
      </w:pPr>
    </w:p>
    <w:p w:rsidR="004D372E" w:rsidRPr="00D15197" w:rsidRDefault="004D372E" w:rsidP="004D372E">
      <w:pPr>
        <w:rPr>
          <w:rFonts w:cstheme="minorBidi"/>
          <w:szCs w:val="22"/>
        </w:rPr>
      </w:pPr>
      <w:r w:rsidRPr="00D15197">
        <w:rPr>
          <w:rFonts w:cstheme="minorBidi"/>
          <w:szCs w:val="22"/>
        </w:rPr>
        <w:t xml:space="preserve">The service and/or system supplier involved in the requested access is &lt; </w:t>
      </w:r>
      <w:r w:rsidR="00A35FC9" w:rsidRPr="00D15197">
        <w:rPr>
          <w:rFonts w:cstheme="minorBidi"/>
          <w:i/>
          <w:szCs w:val="22"/>
        </w:rPr>
        <w:t>SUPPLIER NAME</w:t>
      </w:r>
      <w:r w:rsidRPr="00D15197">
        <w:rPr>
          <w:rFonts w:cstheme="minorBidi"/>
          <w:szCs w:val="22"/>
        </w:rPr>
        <w:t>&gt;.</w:t>
      </w:r>
    </w:p>
    <w:p w:rsidR="004D372E" w:rsidRPr="00D15197" w:rsidRDefault="004D372E" w:rsidP="004D372E">
      <w:pPr>
        <w:rPr>
          <w:rFonts w:cstheme="minorBidi"/>
          <w:szCs w:val="22"/>
        </w:rPr>
      </w:pPr>
    </w:p>
    <w:p w:rsidR="00E30C9A" w:rsidRPr="00D15197" w:rsidRDefault="00E30C9A" w:rsidP="004D372E">
      <w:pPr>
        <w:rPr>
          <w:rFonts w:cstheme="minorBidi"/>
          <w:szCs w:val="22"/>
        </w:rPr>
      </w:pPr>
      <w:r w:rsidRPr="00D15197">
        <w:rPr>
          <w:rFonts w:cstheme="minorBidi"/>
          <w:szCs w:val="22"/>
        </w:rPr>
        <w:t>The organisation contact details are:</w:t>
      </w:r>
    </w:p>
    <w:p w:rsidR="00E30C9A" w:rsidRPr="00D15197" w:rsidRDefault="00E30C9A" w:rsidP="004D372E">
      <w:pPr>
        <w:rPr>
          <w:rFonts w:cstheme="minorBidi"/>
          <w:szCs w:val="22"/>
        </w:rPr>
      </w:pPr>
    </w:p>
    <w:p w:rsidR="00E30C9A" w:rsidRPr="00D15197" w:rsidRDefault="00E30C9A" w:rsidP="00E30C9A">
      <w:pPr>
        <w:pStyle w:val="ListParagraph"/>
        <w:numPr>
          <w:ilvl w:val="0"/>
          <w:numId w:val="10"/>
        </w:numPr>
        <w:rPr>
          <w:rFonts w:cstheme="minorBidi"/>
          <w:szCs w:val="22"/>
        </w:rPr>
      </w:pPr>
      <w:r w:rsidRPr="00D15197">
        <w:rPr>
          <w:rFonts w:cstheme="minorBidi"/>
          <w:szCs w:val="22"/>
        </w:rPr>
        <w:t>Organisation.</w:t>
      </w:r>
    </w:p>
    <w:p w:rsidR="00E30C9A" w:rsidRPr="00D15197" w:rsidRDefault="0018019A" w:rsidP="00E30C9A">
      <w:pPr>
        <w:pStyle w:val="ListParagraph"/>
        <w:numPr>
          <w:ilvl w:val="0"/>
          <w:numId w:val="10"/>
        </w:numPr>
        <w:rPr>
          <w:rFonts w:cstheme="minorBidi"/>
          <w:szCs w:val="22"/>
        </w:rPr>
      </w:pPr>
      <w:r w:rsidRPr="00D15197">
        <w:rPr>
          <w:rFonts w:cstheme="minorBidi"/>
          <w:szCs w:val="22"/>
        </w:rPr>
        <w:t xml:space="preserve">Contact </w:t>
      </w:r>
      <w:r w:rsidR="00E30C9A" w:rsidRPr="00D15197">
        <w:rPr>
          <w:rFonts w:cstheme="minorBidi"/>
          <w:szCs w:val="22"/>
        </w:rPr>
        <w:t>Name.</w:t>
      </w:r>
    </w:p>
    <w:p w:rsidR="00E30C9A" w:rsidRPr="00D15197" w:rsidRDefault="00E30C9A" w:rsidP="00E30C9A">
      <w:pPr>
        <w:pStyle w:val="ListParagraph"/>
        <w:numPr>
          <w:ilvl w:val="0"/>
          <w:numId w:val="10"/>
        </w:numPr>
        <w:rPr>
          <w:rFonts w:cstheme="minorBidi"/>
          <w:szCs w:val="22"/>
        </w:rPr>
      </w:pPr>
      <w:r w:rsidRPr="00D15197">
        <w:rPr>
          <w:rFonts w:cstheme="minorBidi"/>
          <w:szCs w:val="22"/>
        </w:rPr>
        <w:t>Email.</w:t>
      </w:r>
    </w:p>
    <w:p w:rsidR="00E30C9A" w:rsidRPr="00D15197" w:rsidRDefault="00E30C9A" w:rsidP="00E30C9A">
      <w:pPr>
        <w:pStyle w:val="ListParagraph"/>
        <w:numPr>
          <w:ilvl w:val="0"/>
          <w:numId w:val="10"/>
        </w:numPr>
        <w:rPr>
          <w:rFonts w:cstheme="minorBidi"/>
          <w:szCs w:val="22"/>
        </w:rPr>
      </w:pPr>
      <w:r w:rsidRPr="00D15197">
        <w:rPr>
          <w:rFonts w:cstheme="minorBidi"/>
          <w:szCs w:val="22"/>
        </w:rPr>
        <w:t>Telephone.</w:t>
      </w:r>
    </w:p>
    <w:p w:rsidR="00E30C9A" w:rsidRPr="00D15197" w:rsidRDefault="00E30C9A" w:rsidP="004D372E">
      <w:pPr>
        <w:rPr>
          <w:rFonts w:cstheme="minorBidi"/>
          <w:szCs w:val="22"/>
        </w:rPr>
      </w:pPr>
    </w:p>
    <w:p w:rsidR="00E30C9A" w:rsidRPr="00D15197" w:rsidRDefault="00E30C9A" w:rsidP="00E30C9A">
      <w:pPr>
        <w:rPr>
          <w:rFonts w:cstheme="minorBidi"/>
          <w:szCs w:val="22"/>
        </w:rPr>
      </w:pPr>
      <w:r w:rsidRPr="00D15197">
        <w:rPr>
          <w:rFonts w:cstheme="minorBidi"/>
          <w:szCs w:val="22"/>
        </w:rPr>
        <w:t xml:space="preserve">The </w:t>
      </w:r>
      <w:r w:rsidR="00A35FC9" w:rsidRPr="00D15197">
        <w:rPr>
          <w:rFonts w:cstheme="minorBidi"/>
          <w:szCs w:val="22"/>
        </w:rPr>
        <w:t xml:space="preserve">contact details for the aggregator acting on behalf of the client </w:t>
      </w:r>
      <w:r w:rsidRPr="00D15197">
        <w:rPr>
          <w:rFonts w:cstheme="minorBidi"/>
          <w:szCs w:val="22"/>
        </w:rPr>
        <w:t>organisation are:</w:t>
      </w:r>
    </w:p>
    <w:p w:rsidR="00E30C9A" w:rsidRPr="00D15197" w:rsidRDefault="00E30C9A" w:rsidP="00E30C9A">
      <w:pPr>
        <w:rPr>
          <w:rFonts w:cstheme="minorBidi"/>
          <w:szCs w:val="22"/>
        </w:rPr>
      </w:pPr>
    </w:p>
    <w:p w:rsidR="00E30C9A" w:rsidRPr="00D15197" w:rsidRDefault="00A35FC9" w:rsidP="00E30C9A">
      <w:pPr>
        <w:pStyle w:val="ListParagraph"/>
        <w:numPr>
          <w:ilvl w:val="0"/>
          <w:numId w:val="10"/>
        </w:numPr>
        <w:rPr>
          <w:rFonts w:cstheme="minorBidi"/>
          <w:szCs w:val="22"/>
        </w:rPr>
      </w:pPr>
      <w:r w:rsidRPr="00D15197">
        <w:rPr>
          <w:rFonts w:cstheme="minorBidi"/>
          <w:szCs w:val="22"/>
        </w:rPr>
        <w:t>Aggregator</w:t>
      </w:r>
      <w:r w:rsidR="00E30C9A" w:rsidRPr="00D15197">
        <w:rPr>
          <w:rFonts w:cstheme="minorBidi"/>
          <w:szCs w:val="22"/>
        </w:rPr>
        <w:t>.</w:t>
      </w:r>
    </w:p>
    <w:p w:rsidR="00E30C9A" w:rsidRPr="00D15197" w:rsidRDefault="0018019A" w:rsidP="00E30C9A">
      <w:pPr>
        <w:pStyle w:val="ListParagraph"/>
        <w:numPr>
          <w:ilvl w:val="0"/>
          <w:numId w:val="10"/>
        </w:numPr>
        <w:rPr>
          <w:rFonts w:cstheme="minorBidi"/>
          <w:szCs w:val="22"/>
        </w:rPr>
      </w:pPr>
      <w:r w:rsidRPr="00D15197">
        <w:rPr>
          <w:rFonts w:cstheme="minorBidi"/>
          <w:szCs w:val="22"/>
        </w:rPr>
        <w:t xml:space="preserve">Contact </w:t>
      </w:r>
      <w:r w:rsidR="00E30C9A" w:rsidRPr="00D15197">
        <w:rPr>
          <w:rFonts w:cstheme="minorBidi"/>
          <w:szCs w:val="22"/>
        </w:rPr>
        <w:t>Name.</w:t>
      </w:r>
    </w:p>
    <w:p w:rsidR="00E30C9A" w:rsidRPr="00D15197" w:rsidRDefault="00E30C9A" w:rsidP="00E30C9A">
      <w:pPr>
        <w:pStyle w:val="ListParagraph"/>
        <w:numPr>
          <w:ilvl w:val="0"/>
          <w:numId w:val="10"/>
        </w:numPr>
        <w:rPr>
          <w:rFonts w:cstheme="minorBidi"/>
          <w:szCs w:val="22"/>
        </w:rPr>
      </w:pPr>
      <w:r w:rsidRPr="00D15197">
        <w:rPr>
          <w:rFonts w:cstheme="minorBidi"/>
          <w:szCs w:val="22"/>
        </w:rPr>
        <w:t>Email.</w:t>
      </w:r>
    </w:p>
    <w:p w:rsidR="00E30C9A" w:rsidRPr="00D15197" w:rsidRDefault="00E30C9A" w:rsidP="00E30C9A">
      <w:pPr>
        <w:pStyle w:val="ListParagraph"/>
        <w:numPr>
          <w:ilvl w:val="0"/>
          <w:numId w:val="10"/>
        </w:numPr>
        <w:rPr>
          <w:rFonts w:cstheme="minorBidi"/>
          <w:szCs w:val="22"/>
        </w:rPr>
      </w:pPr>
      <w:r w:rsidRPr="00D15197">
        <w:rPr>
          <w:rFonts w:cstheme="minorBidi"/>
          <w:szCs w:val="22"/>
        </w:rPr>
        <w:t>Telephone.</w:t>
      </w:r>
    </w:p>
    <w:p w:rsidR="00706B00" w:rsidRPr="00D15197" w:rsidRDefault="00706B00" w:rsidP="00706B00">
      <w:pPr>
        <w:rPr>
          <w:rFonts w:cstheme="minorBidi"/>
          <w:szCs w:val="22"/>
        </w:rPr>
      </w:pPr>
    </w:p>
    <w:p w:rsidR="00923D4A" w:rsidRPr="00D15197" w:rsidRDefault="00684190" w:rsidP="00923D4A">
      <w:pPr>
        <w:pBdr>
          <w:bottom w:val="single" w:sz="6" w:space="1" w:color="auto"/>
        </w:pBdr>
      </w:pPr>
      <w:r w:rsidRPr="00D15197">
        <w:t>Previous email exchanges about this case are attached as .msg files</w:t>
      </w:r>
    </w:p>
    <w:p w:rsidR="000E542A" w:rsidRPr="00D15197" w:rsidRDefault="000E542A" w:rsidP="00923D4A">
      <w:pPr>
        <w:pBdr>
          <w:bottom w:val="single" w:sz="6" w:space="1" w:color="auto"/>
        </w:pBdr>
      </w:pPr>
    </w:p>
    <w:p w:rsidR="000E542A" w:rsidRPr="00D15197" w:rsidRDefault="000E542A">
      <w:r w:rsidRPr="00D15197">
        <w:br w:type="page"/>
      </w:r>
    </w:p>
    <w:p w:rsidR="000E542A" w:rsidRPr="00D15197" w:rsidRDefault="000E542A" w:rsidP="000E542A">
      <w:pPr>
        <w:rPr>
          <w:b/>
          <w:sz w:val="28"/>
          <w:szCs w:val="28"/>
        </w:rPr>
      </w:pPr>
      <w:r w:rsidRPr="00D15197">
        <w:rPr>
          <w:b/>
          <w:sz w:val="28"/>
          <w:szCs w:val="28"/>
        </w:rPr>
        <w:t xml:space="preserve">Appendix B - IGARD </w:t>
      </w:r>
      <w:r w:rsidR="00457EA8" w:rsidRPr="00D15197">
        <w:rPr>
          <w:b/>
          <w:sz w:val="28"/>
          <w:szCs w:val="28"/>
        </w:rPr>
        <w:t>Privacy</w:t>
      </w:r>
      <w:r w:rsidRPr="00D15197">
        <w:rPr>
          <w:b/>
          <w:sz w:val="28"/>
          <w:szCs w:val="28"/>
        </w:rPr>
        <w:t xml:space="preserve"> Notice </w:t>
      </w:r>
      <w:r w:rsidR="00E962D6" w:rsidRPr="00D15197">
        <w:rPr>
          <w:b/>
          <w:sz w:val="28"/>
          <w:szCs w:val="28"/>
        </w:rPr>
        <w:t xml:space="preserve">(PN) </w:t>
      </w:r>
      <w:r w:rsidRPr="00D15197">
        <w:rPr>
          <w:b/>
          <w:sz w:val="28"/>
          <w:szCs w:val="28"/>
        </w:rPr>
        <w:t>Guidance</w:t>
      </w:r>
    </w:p>
    <w:p w:rsidR="000E542A" w:rsidRPr="00D15197" w:rsidRDefault="000E542A"/>
    <w:p w:rsidR="000E542A" w:rsidRPr="00D15197" w:rsidRDefault="00AA5337">
      <w:r w:rsidRPr="00D15197">
        <w:t xml:space="preserve">This guidance supplements the </w:t>
      </w:r>
      <w:hyperlink r:id="rId24" w:history="1">
        <w:r w:rsidRPr="00D15197">
          <w:rPr>
            <w:rStyle w:val="Hyperlink"/>
          </w:rPr>
          <w:t>ICO guidance</w:t>
        </w:r>
      </w:hyperlink>
      <w:r w:rsidRPr="00D15197">
        <w:t>.</w:t>
      </w:r>
    </w:p>
    <w:p w:rsidR="0023662E" w:rsidRPr="00D15197" w:rsidRDefault="0023662E"/>
    <w:p w:rsidR="00AB6BED" w:rsidRPr="00D15197" w:rsidRDefault="00AB6BED" w:rsidP="00AB6BED">
      <w:r w:rsidRPr="00D15197">
        <w:t xml:space="preserve">The criteria against which PNs are reviewed </w:t>
      </w:r>
      <w:r w:rsidR="00D57029" w:rsidRPr="00D15197">
        <w:t>have</w:t>
      </w:r>
      <w:r w:rsidRPr="00D15197">
        <w:t xml:space="preserve"> been endorsed by IGARD.  The check list that the criteria are measured against has three standards: good practice, advice and </w:t>
      </w:r>
      <w:r w:rsidR="00206801" w:rsidRPr="00D15197">
        <w:t>mandatory</w:t>
      </w:r>
      <w:r w:rsidRPr="00D15197">
        <w:t xml:space="preserve">.  The criteria are categorised as either red or amber; red criteria </w:t>
      </w:r>
      <w:r w:rsidR="00C301F5" w:rsidRPr="00D15197">
        <w:t xml:space="preserve">are those </w:t>
      </w:r>
      <w:r w:rsidR="00206801" w:rsidRPr="00D15197">
        <w:t>that</w:t>
      </w:r>
      <w:r w:rsidRPr="00D15197">
        <w:t xml:space="preserve"> </w:t>
      </w:r>
      <w:r w:rsidR="00C301F5" w:rsidRPr="00D15197">
        <w:t>must be</w:t>
      </w:r>
      <w:r w:rsidRPr="00D15197">
        <w:t xml:space="preserve"> addressed </w:t>
      </w:r>
      <w:r w:rsidR="00D57029" w:rsidRPr="00D15197">
        <w:t>satisfactorily</w:t>
      </w:r>
      <w:r w:rsidRPr="00D15197">
        <w:t>.  However,</w:t>
      </w:r>
      <w:r w:rsidR="00206801" w:rsidRPr="00D15197">
        <w:t xml:space="preserve"> if a red criterion</w:t>
      </w:r>
      <w:r w:rsidRPr="00D15197">
        <w:t xml:space="preserve"> is in the notice, but needs </w:t>
      </w:r>
      <w:r w:rsidR="00D57029" w:rsidRPr="00D15197">
        <w:t>improvement,</w:t>
      </w:r>
      <w:r w:rsidRPr="00D15197">
        <w:t xml:space="preserve"> then it is marked as advice - ie, IGARD might accept the fact that the PN will be updated, within a reasonable time frame</w:t>
      </w:r>
      <w:r w:rsidR="00D57029" w:rsidRPr="00D15197">
        <w:t>, usually one month</w:t>
      </w:r>
      <w:r w:rsidRPr="00D15197">
        <w:t>.</w:t>
      </w:r>
    </w:p>
    <w:p w:rsidR="0023662E" w:rsidRPr="00D15197" w:rsidRDefault="0023662E"/>
    <w:p w:rsidR="00AA5337" w:rsidRPr="00D15197" w:rsidRDefault="00D36DB7">
      <w:r w:rsidRPr="00D15197">
        <w:t>The criteria and guidance are embedded here …</w:t>
      </w:r>
    </w:p>
    <w:p w:rsidR="00D36DB7" w:rsidRPr="00D15197" w:rsidRDefault="00D36DB7"/>
    <w:p w:rsidR="00D36DB7" w:rsidRDefault="00D36DB7">
      <w:r w:rsidRPr="00D15197">
        <w:object w:dxaOrig="1516" w:dyaOrig="955" w14:anchorId="1F6495A4">
          <v:shape id="_x0000_i1026" type="#_x0000_t75" style="width:75.75pt;height:47.35pt" o:ole="">
            <v:imagedata r:id="rId25" o:title=""/>
          </v:shape>
          <o:OLEObject Type="Embed" ProgID="Excel.Sheet.12" ShapeID="_x0000_i1026" DrawAspect="Icon" ObjectID="_1594027169" r:id="rId26"/>
        </w:object>
      </w:r>
    </w:p>
    <w:p w:rsidR="002A7A7E" w:rsidRDefault="002A7A7E" w:rsidP="00FF0532"/>
    <w:p w:rsidR="00FF0532" w:rsidRDefault="00FF0532" w:rsidP="00FF0532"/>
    <w:sectPr w:rsidR="00FF0532">
      <w:headerReference w:type="even" r:id="rId27"/>
      <w:headerReference w:type="default" r:id="rId28"/>
      <w:footerReference w:type="default" r:id="rId29"/>
      <w:head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91D" w:rsidRDefault="0082591D" w:rsidP="004A5319">
      <w:r>
        <w:separator/>
      </w:r>
    </w:p>
  </w:endnote>
  <w:endnote w:type="continuationSeparator" w:id="0">
    <w:p w:rsidR="0082591D" w:rsidRDefault="0082591D" w:rsidP="004A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319" w:rsidRDefault="004A5319" w:rsidP="004A5319">
    <w:pPr>
      <w:pStyle w:val="Footer"/>
      <w:jc w:val="center"/>
    </w:pPr>
    <w:r>
      <w:fldChar w:fldCharType="begin"/>
    </w:r>
    <w:r>
      <w:instrText xml:space="preserve"> PAGE   \* MERGEFORMAT </w:instrText>
    </w:r>
    <w:r>
      <w:fldChar w:fldCharType="separate"/>
    </w:r>
    <w:r w:rsidR="00E822C1">
      <w:rPr>
        <w:noProof/>
      </w:rPr>
      <w:t>8</w:t>
    </w:r>
    <w:r>
      <w:fldChar w:fldCharType="end"/>
    </w:r>
    <w:r>
      <w:t xml:space="preserve"> of </w:t>
    </w:r>
    <w:r w:rsidR="00A67CCC">
      <w:rPr>
        <w:noProof/>
      </w:rPr>
      <w:fldChar w:fldCharType="begin"/>
    </w:r>
    <w:r w:rsidR="00A67CCC">
      <w:rPr>
        <w:noProof/>
      </w:rPr>
      <w:instrText xml:space="preserve"> NUMPAGES   \* MERGEFORMAT </w:instrText>
    </w:r>
    <w:r w:rsidR="00A67CCC">
      <w:rPr>
        <w:noProof/>
      </w:rPr>
      <w:fldChar w:fldCharType="separate"/>
    </w:r>
    <w:r w:rsidR="00E822C1">
      <w:rPr>
        <w:noProof/>
      </w:rPr>
      <w:t>8</w:t>
    </w:r>
    <w:r w:rsidR="00A67CC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91D" w:rsidRDefault="0082591D" w:rsidP="004A5319">
      <w:r>
        <w:separator/>
      </w:r>
    </w:p>
  </w:footnote>
  <w:footnote w:type="continuationSeparator" w:id="0">
    <w:p w:rsidR="0082591D" w:rsidRDefault="0082591D" w:rsidP="004A5319">
      <w:r>
        <w:continuationSeparator/>
      </w:r>
    </w:p>
  </w:footnote>
  <w:footnote w:id="1">
    <w:p w:rsidR="00FF0532" w:rsidRPr="003E38A2" w:rsidRDefault="00FF0532" w:rsidP="003244FD">
      <w:pPr>
        <w:pStyle w:val="FootnoteText"/>
        <w:rPr>
          <w:rFonts w:cs="Arial"/>
        </w:rPr>
      </w:pPr>
      <w:r w:rsidRPr="003E38A2">
        <w:rPr>
          <w:rStyle w:val="FootnoteReference"/>
          <w:rFonts w:cs="Arial"/>
        </w:rPr>
        <w:footnoteRef/>
      </w:r>
      <w:r w:rsidRPr="003E38A2">
        <w:rPr>
          <w:rFonts w:cs="Arial"/>
        </w:rPr>
        <w:t xml:space="preserve"> The Caldicott Review in 2013 defined direct care as:</w:t>
      </w:r>
    </w:p>
    <w:p w:rsidR="00FF0532" w:rsidRPr="003E38A2" w:rsidRDefault="00FF0532" w:rsidP="003244FD">
      <w:pPr>
        <w:pStyle w:val="FootnoteText"/>
        <w:rPr>
          <w:rFonts w:cs="Arial"/>
        </w:rPr>
      </w:pPr>
      <w:r w:rsidRPr="003E38A2">
        <w:rPr>
          <w:rFonts w:cs="Arial"/>
        </w:rPr>
        <w:t>A clinical, social or public health activity concerned with the prevention, investigation and treatment of illnesses and the alleviation of suffering of individuals. It includes supporting individuals’ ability to function and improve the participation in life and society. It includes the assurance of safe and high quality care and treatment through local audit, the management of untoward or adverse incidents, person satisfaction including measurement of outcomes undertaken by one or more registered and regulated health and social care professionals and their team with whom the individual has a legitimate relationship for their care.</w:t>
      </w:r>
    </w:p>
  </w:footnote>
  <w:footnote w:id="2">
    <w:p w:rsidR="00FF0532" w:rsidRPr="00A67C17" w:rsidRDefault="00FF0532" w:rsidP="00653B65">
      <w:pPr>
        <w:pStyle w:val="FootnoteText"/>
        <w:rPr>
          <w:rFonts w:cs="Arial"/>
        </w:rPr>
      </w:pPr>
      <w:r w:rsidRPr="00A67C17">
        <w:rPr>
          <w:rStyle w:val="FootnoteReference"/>
          <w:rFonts w:cs="Arial"/>
        </w:rPr>
        <w:footnoteRef/>
      </w:r>
      <w:r w:rsidRPr="00A67C17">
        <w:rPr>
          <w:rFonts w:cs="Arial"/>
        </w:rPr>
        <w:t xml:space="preserve"> The word “disseminate” is used in the Health and Social Care Act 2012, to m</w:t>
      </w:r>
      <w:r>
        <w:rPr>
          <w:rFonts w:cs="Arial"/>
        </w:rPr>
        <w:t>ea</w:t>
      </w:r>
      <w:r w:rsidRPr="00A67C17">
        <w:rPr>
          <w:rFonts w:cs="Arial"/>
        </w:rPr>
        <w:t xml:space="preserve">n the release of data </w:t>
      </w:r>
      <w:r>
        <w:rPr>
          <w:rFonts w:cs="Arial"/>
        </w:rPr>
        <w:t>for</w:t>
      </w:r>
      <w:r w:rsidRPr="00A67C17">
        <w:rPr>
          <w:rFonts w:cs="Arial"/>
        </w:rPr>
        <w:t xml:space="preserve"> whatever purpose.</w:t>
      </w:r>
    </w:p>
  </w:footnote>
  <w:footnote w:id="3">
    <w:p w:rsidR="00FF0532" w:rsidRDefault="00FF0532">
      <w:pPr>
        <w:pStyle w:val="FootnoteText"/>
      </w:pPr>
      <w:r>
        <w:rPr>
          <w:rStyle w:val="FootnoteReference"/>
        </w:rPr>
        <w:footnoteRef/>
      </w:r>
      <w:r>
        <w:t xml:space="preserve"> </w:t>
      </w:r>
      <w:r w:rsidRPr="003F3FF4">
        <w:rPr>
          <w:rFonts w:cs="Arial"/>
        </w:rPr>
        <w:t>In this context a service aggregator is a third party provider that provides an information management service to multiple organisations, using its own application software or that of a third party application provider.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555" w:rsidRDefault="0082591D">
    <w:pPr>
      <w:pStyle w:val="Header"/>
    </w:pPr>
    <w:r>
      <w:rPr>
        <w:noProof/>
      </w:rPr>
      <w:pict w14:anchorId="1F6495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92755"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319" w:rsidRPr="004A5319" w:rsidRDefault="0082591D">
    <w:pPr>
      <w:pStyle w:val="Header"/>
      <w:rPr>
        <w:i/>
      </w:rPr>
    </w:pPr>
    <w:r>
      <w:rPr>
        <w:noProof/>
      </w:rPr>
      <w:pict w14:anchorId="1F6495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92756"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A5319" w:rsidRPr="004A5319">
      <w:rPr>
        <w:i/>
      </w:rPr>
      <w:fldChar w:fldCharType="begin"/>
    </w:r>
    <w:r w:rsidR="004A5319" w:rsidRPr="004A5319">
      <w:rPr>
        <w:i/>
      </w:rPr>
      <w:instrText xml:space="preserve"> FILENAME   \* MERGEFORMAT </w:instrText>
    </w:r>
    <w:r w:rsidR="004A5319" w:rsidRPr="004A5319">
      <w:rPr>
        <w:i/>
      </w:rPr>
      <w:fldChar w:fldCharType="separate"/>
    </w:r>
    <w:r w:rsidR="008A66A3">
      <w:rPr>
        <w:i/>
        <w:noProof/>
      </w:rPr>
      <w:t>PDS Access Request Brief Draft v11.2.docx</w:t>
    </w:r>
    <w:r w:rsidR="004A5319" w:rsidRPr="004A5319">
      <w:rPr>
        <w:i/>
      </w:rPr>
      <w:fldChar w:fldCharType="end"/>
    </w:r>
    <w:r w:rsidR="00743395">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555" w:rsidRDefault="0082591D">
    <w:pPr>
      <w:pStyle w:val="Header"/>
    </w:pPr>
    <w:r>
      <w:rPr>
        <w:noProof/>
      </w:rPr>
      <w:pict w14:anchorId="1F649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92754"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A83"/>
    <w:multiLevelType w:val="hybridMultilevel"/>
    <w:tmpl w:val="33A0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B6A8F"/>
    <w:multiLevelType w:val="hybridMultilevel"/>
    <w:tmpl w:val="7EFC28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A829DA"/>
    <w:multiLevelType w:val="hybridMultilevel"/>
    <w:tmpl w:val="BB14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26D55"/>
    <w:multiLevelType w:val="hybridMultilevel"/>
    <w:tmpl w:val="582C1A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275D3"/>
    <w:multiLevelType w:val="hybridMultilevel"/>
    <w:tmpl w:val="827AF65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F66B70"/>
    <w:multiLevelType w:val="hybridMultilevel"/>
    <w:tmpl w:val="5F6C2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0DC2582"/>
    <w:multiLevelType w:val="multilevel"/>
    <w:tmpl w:val="BB1474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83968DF"/>
    <w:multiLevelType w:val="hybridMultilevel"/>
    <w:tmpl w:val="E9CE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667C3A"/>
    <w:multiLevelType w:val="hybridMultilevel"/>
    <w:tmpl w:val="BE069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893496"/>
    <w:multiLevelType w:val="hybridMultilevel"/>
    <w:tmpl w:val="4C58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11E6A"/>
    <w:multiLevelType w:val="hybridMultilevel"/>
    <w:tmpl w:val="750A7E22"/>
    <w:lvl w:ilvl="0" w:tplc="885815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3D5337"/>
    <w:multiLevelType w:val="multilevel"/>
    <w:tmpl w:val="18A497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7942CF"/>
    <w:multiLevelType w:val="hybridMultilevel"/>
    <w:tmpl w:val="810870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A166D7"/>
    <w:multiLevelType w:val="hybridMultilevel"/>
    <w:tmpl w:val="5BFE96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13"/>
  </w:num>
  <w:num w:numId="4">
    <w:abstractNumId w:val="8"/>
  </w:num>
  <w:num w:numId="5">
    <w:abstractNumId w:val="10"/>
  </w:num>
  <w:num w:numId="6">
    <w:abstractNumId w:val="11"/>
  </w:num>
  <w:num w:numId="7">
    <w:abstractNumId w:val="2"/>
  </w:num>
  <w:num w:numId="8">
    <w:abstractNumId w:val="6"/>
  </w:num>
  <w:num w:numId="9">
    <w:abstractNumId w:val="3"/>
  </w:num>
  <w:num w:numId="10">
    <w:abstractNumId w:val="0"/>
  </w:num>
  <w:num w:numId="11">
    <w:abstractNumId w:val="5"/>
  </w:num>
  <w:num w:numId="12">
    <w:abstractNumId w:val="4"/>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C77"/>
    <w:rsid w:val="00004BA1"/>
    <w:rsid w:val="00013C1E"/>
    <w:rsid w:val="00020C77"/>
    <w:rsid w:val="00025904"/>
    <w:rsid w:val="00025DE2"/>
    <w:rsid w:val="00033E10"/>
    <w:rsid w:val="000343F8"/>
    <w:rsid w:val="0004361E"/>
    <w:rsid w:val="00044274"/>
    <w:rsid w:val="00061AEE"/>
    <w:rsid w:val="0006339B"/>
    <w:rsid w:val="00064129"/>
    <w:rsid w:val="0007065B"/>
    <w:rsid w:val="00084FC5"/>
    <w:rsid w:val="00095865"/>
    <w:rsid w:val="000A500A"/>
    <w:rsid w:val="000C53D7"/>
    <w:rsid w:val="000C609B"/>
    <w:rsid w:val="000E542A"/>
    <w:rsid w:val="000F0D4B"/>
    <w:rsid w:val="00122C05"/>
    <w:rsid w:val="00134C34"/>
    <w:rsid w:val="0014003E"/>
    <w:rsid w:val="0018019A"/>
    <w:rsid w:val="00192CD1"/>
    <w:rsid w:val="00193F0E"/>
    <w:rsid w:val="001A211A"/>
    <w:rsid w:val="001A259B"/>
    <w:rsid w:val="001A57FF"/>
    <w:rsid w:val="001A600A"/>
    <w:rsid w:val="001B309F"/>
    <w:rsid w:val="001B5E62"/>
    <w:rsid w:val="001D1F24"/>
    <w:rsid w:val="001D435A"/>
    <w:rsid w:val="001D4995"/>
    <w:rsid w:val="001F327D"/>
    <w:rsid w:val="001F7E4E"/>
    <w:rsid w:val="00202C22"/>
    <w:rsid w:val="00206801"/>
    <w:rsid w:val="00230D71"/>
    <w:rsid w:val="00234F76"/>
    <w:rsid w:val="0023662E"/>
    <w:rsid w:val="00254571"/>
    <w:rsid w:val="00287DE7"/>
    <w:rsid w:val="00294F3B"/>
    <w:rsid w:val="00297DB8"/>
    <w:rsid w:val="002A7A7E"/>
    <w:rsid w:val="002B0415"/>
    <w:rsid w:val="00312819"/>
    <w:rsid w:val="00323BEE"/>
    <w:rsid w:val="003244FD"/>
    <w:rsid w:val="00326EED"/>
    <w:rsid w:val="00355B67"/>
    <w:rsid w:val="00364BA9"/>
    <w:rsid w:val="003709F1"/>
    <w:rsid w:val="003812F9"/>
    <w:rsid w:val="00381E32"/>
    <w:rsid w:val="003E37A5"/>
    <w:rsid w:val="003E38A2"/>
    <w:rsid w:val="003F3FF4"/>
    <w:rsid w:val="00457EA8"/>
    <w:rsid w:val="00495D9B"/>
    <w:rsid w:val="004A5319"/>
    <w:rsid w:val="004B3AC2"/>
    <w:rsid w:val="004D372E"/>
    <w:rsid w:val="004D4740"/>
    <w:rsid w:val="004E26B4"/>
    <w:rsid w:val="004E3B3A"/>
    <w:rsid w:val="004E7029"/>
    <w:rsid w:val="00513F51"/>
    <w:rsid w:val="00527404"/>
    <w:rsid w:val="005332AB"/>
    <w:rsid w:val="00533993"/>
    <w:rsid w:val="005411C8"/>
    <w:rsid w:val="00551822"/>
    <w:rsid w:val="00560A92"/>
    <w:rsid w:val="005719D4"/>
    <w:rsid w:val="00590507"/>
    <w:rsid w:val="00590816"/>
    <w:rsid w:val="005A5563"/>
    <w:rsid w:val="005B3E8F"/>
    <w:rsid w:val="005C2039"/>
    <w:rsid w:val="005C45F6"/>
    <w:rsid w:val="00605CD4"/>
    <w:rsid w:val="006229D5"/>
    <w:rsid w:val="00640736"/>
    <w:rsid w:val="00642FAB"/>
    <w:rsid w:val="00653B65"/>
    <w:rsid w:val="00655EE7"/>
    <w:rsid w:val="00673A38"/>
    <w:rsid w:val="00684190"/>
    <w:rsid w:val="006A1D2F"/>
    <w:rsid w:val="006A1E44"/>
    <w:rsid w:val="006A2C33"/>
    <w:rsid w:val="006D0546"/>
    <w:rsid w:val="006F2140"/>
    <w:rsid w:val="0070135E"/>
    <w:rsid w:val="00704334"/>
    <w:rsid w:val="00706B00"/>
    <w:rsid w:val="00740C44"/>
    <w:rsid w:val="00743395"/>
    <w:rsid w:val="00763C39"/>
    <w:rsid w:val="00783509"/>
    <w:rsid w:val="007A21D2"/>
    <w:rsid w:val="007C4320"/>
    <w:rsid w:val="007D36DE"/>
    <w:rsid w:val="007D5A72"/>
    <w:rsid w:val="007E0C15"/>
    <w:rsid w:val="0082445C"/>
    <w:rsid w:val="0082591D"/>
    <w:rsid w:val="00826037"/>
    <w:rsid w:val="00833185"/>
    <w:rsid w:val="00841E39"/>
    <w:rsid w:val="00851952"/>
    <w:rsid w:val="00853DA3"/>
    <w:rsid w:val="00856DBA"/>
    <w:rsid w:val="00863361"/>
    <w:rsid w:val="0088404F"/>
    <w:rsid w:val="00887050"/>
    <w:rsid w:val="00896F2E"/>
    <w:rsid w:val="008A66A3"/>
    <w:rsid w:val="008C21A9"/>
    <w:rsid w:val="00923D4A"/>
    <w:rsid w:val="00965C22"/>
    <w:rsid w:val="00984D45"/>
    <w:rsid w:val="00993C75"/>
    <w:rsid w:val="009976E7"/>
    <w:rsid w:val="009A6BE9"/>
    <w:rsid w:val="009F562F"/>
    <w:rsid w:val="00A35FC9"/>
    <w:rsid w:val="00A50FD5"/>
    <w:rsid w:val="00A537E6"/>
    <w:rsid w:val="00A6775D"/>
    <w:rsid w:val="00A67C17"/>
    <w:rsid w:val="00A67CCC"/>
    <w:rsid w:val="00A7556F"/>
    <w:rsid w:val="00A8296A"/>
    <w:rsid w:val="00A87D6A"/>
    <w:rsid w:val="00A87E85"/>
    <w:rsid w:val="00A909EF"/>
    <w:rsid w:val="00AA5337"/>
    <w:rsid w:val="00AA72DF"/>
    <w:rsid w:val="00AB6BED"/>
    <w:rsid w:val="00AB7993"/>
    <w:rsid w:val="00AC7EED"/>
    <w:rsid w:val="00AD794F"/>
    <w:rsid w:val="00AF4A1F"/>
    <w:rsid w:val="00AF66A3"/>
    <w:rsid w:val="00B037A3"/>
    <w:rsid w:val="00B10CCE"/>
    <w:rsid w:val="00B268B7"/>
    <w:rsid w:val="00B322D7"/>
    <w:rsid w:val="00B32FE1"/>
    <w:rsid w:val="00B4407B"/>
    <w:rsid w:val="00B6085F"/>
    <w:rsid w:val="00B66B70"/>
    <w:rsid w:val="00B721ED"/>
    <w:rsid w:val="00BD2B9A"/>
    <w:rsid w:val="00BD6027"/>
    <w:rsid w:val="00BF16E6"/>
    <w:rsid w:val="00BF57BE"/>
    <w:rsid w:val="00BF6996"/>
    <w:rsid w:val="00C12FE8"/>
    <w:rsid w:val="00C301F5"/>
    <w:rsid w:val="00C31555"/>
    <w:rsid w:val="00C4493E"/>
    <w:rsid w:val="00C8738F"/>
    <w:rsid w:val="00C925F0"/>
    <w:rsid w:val="00CA313B"/>
    <w:rsid w:val="00CC2699"/>
    <w:rsid w:val="00CD6A23"/>
    <w:rsid w:val="00CE3F07"/>
    <w:rsid w:val="00CE6397"/>
    <w:rsid w:val="00D0472D"/>
    <w:rsid w:val="00D0783A"/>
    <w:rsid w:val="00D1257B"/>
    <w:rsid w:val="00D15197"/>
    <w:rsid w:val="00D22854"/>
    <w:rsid w:val="00D320D8"/>
    <w:rsid w:val="00D36DB7"/>
    <w:rsid w:val="00D54734"/>
    <w:rsid w:val="00D57029"/>
    <w:rsid w:val="00D61CB0"/>
    <w:rsid w:val="00D77719"/>
    <w:rsid w:val="00D8512F"/>
    <w:rsid w:val="00D87E64"/>
    <w:rsid w:val="00D968B3"/>
    <w:rsid w:val="00D97139"/>
    <w:rsid w:val="00DB2B73"/>
    <w:rsid w:val="00DC46F5"/>
    <w:rsid w:val="00DD0CDE"/>
    <w:rsid w:val="00DE62D6"/>
    <w:rsid w:val="00E038B5"/>
    <w:rsid w:val="00E20F38"/>
    <w:rsid w:val="00E24C64"/>
    <w:rsid w:val="00E30C9A"/>
    <w:rsid w:val="00E30FAC"/>
    <w:rsid w:val="00E31CB1"/>
    <w:rsid w:val="00E31F9A"/>
    <w:rsid w:val="00E36327"/>
    <w:rsid w:val="00E369B8"/>
    <w:rsid w:val="00E63796"/>
    <w:rsid w:val="00E727A4"/>
    <w:rsid w:val="00E822C1"/>
    <w:rsid w:val="00E962D6"/>
    <w:rsid w:val="00EC1AEE"/>
    <w:rsid w:val="00ED2AC1"/>
    <w:rsid w:val="00EF1069"/>
    <w:rsid w:val="00EF299E"/>
    <w:rsid w:val="00EF57BE"/>
    <w:rsid w:val="00F1242E"/>
    <w:rsid w:val="00F13545"/>
    <w:rsid w:val="00F263F8"/>
    <w:rsid w:val="00F71F44"/>
    <w:rsid w:val="00F9120B"/>
    <w:rsid w:val="00F95755"/>
    <w:rsid w:val="00F96E14"/>
    <w:rsid w:val="00FB21D8"/>
    <w:rsid w:val="00FB78D6"/>
    <w:rsid w:val="00FC2A8F"/>
    <w:rsid w:val="00FC371D"/>
    <w:rsid w:val="00FC576E"/>
    <w:rsid w:val="00FC7819"/>
    <w:rsid w:val="00FD361E"/>
    <w:rsid w:val="00FF0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6494F4"/>
  <w15:docId w15:val="{5B68FC9F-19D1-4D32-9EE9-2F929D08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3F8"/>
    <w:pPr>
      <w:ind w:left="720"/>
      <w:contextualSpacing/>
    </w:pPr>
  </w:style>
  <w:style w:type="paragraph" w:styleId="Header">
    <w:name w:val="header"/>
    <w:basedOn w:val="Normal"/>
    <w:link w:val="HeaderChar"/>
    <w:uiPriority w:val="99"/>
    <w:unhideWhenUsed/>
    <w:rsid w:val="004A5319"/>
    <w:pPr>
      <w:tabs>
        <w:tab w:val="center" w:pos="4513"/>
        <w:tab w:val="right" w:pos="9026"/>
      </w:tabs>
    </w:pPr>
  </w:style>
  <w:style w:type="character" w:customStyle="1" w:styleId="HeaderChar">
    <w:name w:val="Header Char"/>
    <w:basedOn w:val="DefaultParagraphFont"/>
    <w:link w:val="Header"/>
    <w:uiPriority w:val="99"/>
    <w:rsid w:val="004A5319"/>
  </w:style>
  <w:style w:type="paragraph" w:styleId="Footer">
    <w:name w:val="footer"/>
    <w:basedOn w:val="Normal"/>
    <w:link w:val="FooterChar"/>
    <w:uiPriority w:val="99"/>
    <w:unhideWhenUsed/>
    <w:rsid w:val="004A5319"/>
    <w:pPr>
      <w:tabs>
        <w:tab w:val="center" w:pos="4513"/>
        <w:tab w:val="right" w:pos="9026"/>
      </w:tabs>
    </w:pPr>
  </w:style>
  <w:style w:type="character" w:customStyle="1" w:styleId="FooterChar">
    <w:name w:val="Footer Char"/>
    <w:basedOn w:val="DefaultParagraphFont"/>
    <w:link w:val="Footer"/>
    <w:uiPriority w:val="99"/>
    <w:rsid w:val="004A5319"/>
  </w:style>
  <w:style w:type="character" w:styleId="CommentReference">
    <w:name w:val="annotation reference"/>
    <w:basedOn w:val="DefaultParagraphFont"/>
    <w:uiPriority w:val="99"/>
    <w:semiHidden/>
    <w:unhideWhenUsed/>
    <w:rsid w:val="00B037A3"/>
    <w:rPr>
      <w:sz w:val="16"/>
      <w:szCs w:val="16"/>
    </w:rPr>
  </w:style>
  <w:style w:type="paragraph" w:styleId="CommentText">
    <w:name w:val="annotation text"/>
    <w:basedOn w:val="Normal"/>
    <w:link w:val="CommentTextChar"/>
    <w:uiPriority w:val="99"/>
    <w:semiHidden/>
    <w:unhideWhenUsed/>
    <w:rsid w:val="00B037A3"/>
    <w:rPr>
      <w:sz w:val="20"/>
    </w:rPr>
  </w:style>
  <w:style w:type="character" w:customStyle="1" w:styleId="CommentTextChar">
    <w:name w:val="Comment Text Char"/>
    <w:basedOn w:val="DefaultParagraphFont"/>
    <w:link w:val="CommentText"/>
    <w:uiPriority w:val="99"/>
    <w:semiHidden/>
    <w:rsid w:val="00B037A3"/>
    <w:rPr>
      <w:sz w:val="20"/>
    </w:rPr>
  </w:style>
  <w:style w:type="paragraph" w:styleId="CommentSubject">
    <w:name w:val="annotation subject"/>
    <w:basedOn w:val="CommentText"/>
    <w:next w:val="CommentText"/>
    <w:link w:val="CommentSubjectChar"/>
    <w:uiPriority w:val="99"/>
    <w:semiHidden/>
    <w:unhideWhenUsed/>
    <w:rsid w:val="00B037A3"/>
    <w:rPr>
      <w:b/>
      <w:bCs/>
    </w:rPr>
  </w:style>
  <w:style w:type="character" w:customStyle="1" w:styleId="CommentSubjectChar">
    <w:name w:val="Comment Subject Char"/>
    <w:basedOn w:val="CommentTextChar"/>
    <w:link w:val="CommentSubject"/>
    <w:uiPriority w:val="99"/>
    <w:semiHidden/>
    <w:rsid w:val="00B037A3"/>
    <w:rPr>
      <w:b/>
      <w:bCs/>
      <w:sz w:val="20"/>
    </w:rPr>
  </w:style>
  <w:style w:type="paragraph" w:styleId="BalloonText">
    <w:name w:val="Balloon Text"/>
    <w:basedOn w:val="Normal"/>
    <w:link w:val="BalloonTextChar"/>
    <w:uiPriority w:val="99"/>
    <w:semiHidden/>
    <w:unhideWhenUsed/>
    <w:rsid w:val="00B037A3"/>
    <w:rPr>
      <w:rFonts w:ascii="Tahoma" w:hAnsi="Tahoma" w:cs="Tahoma"/>
      <w:sz w:val="16"/>
      <w:szCs w:val="16"/>
    </w:rPr>
  </w:style>
  <w:style w:type="character" w:customStyle="1" w:styleId="BalloonTextChar">
    <w:name w:val="Balloon Text Char"/>
    <w:basedOn w:val="DefaultParagraphFont"/>
    <w:link w:val="BalloonText"/>
    <w:uiPriority w:val="99"/>
    <w:semiHidden/>
    <w:rsid w:val="00B037A3"/>
    <w:rPr>
      <w:rFonts w:ascii="Tahoma" w:hAnsi="Tahoma" w:cs="Tahoma"/>
      <w:sz w:val="16"/>
      <w:szCs w:val="16"/>
    </w:rPr>
  </w:style>
  <w:style w:type="paragraph" w:styleId="FootnoteText">
    <w:name w:val="footnote text"/>
    <w:basedOn w:val="Normal"/>
    <w:link w:val="FootnoteTextChar"/>
    <w:uiPriority w:val="99"/>
    <w:semiHidden/>
    <w:unhideWhenUsed/>
    <w:rsid w:val="003E38A2"/>
    <w:rPr>
      <w:rFonts w:asciiTheme="minorHAnsi" w:hAnsiTheme="minorHAnsi" w:cstheme="minorBidi"/>
      <w:sz w:val="20"/>
    </w:rPr>
  </w:style>
  <w:style w:type="character" w:customStyle="1" w:styleId="FootnoteTextChar">
    <w:name w:val="Footnote Text Char"/>
    <w:basedOn w:val="DefaultParagraphFont"/>
    <w:link w:val="FootnoteText"/>
    <w:uiPriority w:val="99"/>
    <w:semiHidden/>
    <w:rsid w:val="003E38A2"/>
    <w:rPr>
      <w:rFonts w:asciiTheme="minorHAnsi" w:hAnsiTheme="minorHAnsi" w:cstheme="minorBidi"/>
      <w:sz w:val="20"/>
    </w:rPr>
  </w:style>
  <w:style w:type="character" w:styleId="FootnoteReference">
    <w:name w:val="footnote reference"/>
    <w:basedOn w:val="DefaultParagraphFont"/>
    <w:uiPriority w:val="99"/>
    <w:semiHidden/>
    <w:unhideWhenUsed/>
    <w:rsid w:val="003E38A2"/>
    <w:rPr>
      <w:vertAlign w:val="superscript"/>
    </w:rPr>
  </w:style>
  <w:style w:type="character" w:styleId="Hyperlink">
    <w:name w:val="Hyperlink"/>
    <w:basedOn w:val="DefaultParagraphFont"/>
    <w:uiPriority w:val="99"/>
    <w:unhideWhenUsed/>
    <w:rsid w:val="00E31CB1"/>
    <w:rPr>
      <w:color w:val="0000FF" w:themeColor="hyperlink"/>
      <w:u w:val="single"/>
    </w:rPr>
  </w:style>
  <w:style w:type="paragraph" w:styleId="EndnoteText">
    <w:name w:val="endnote text"/>
    <w:basedOn w:val="Normal"/>
    <w:link w:val="EndnoteTextChar"/>
    <w:uiPriority w:val="99"/>
    <w:semiHidden/>
    <w:unhideWhenUsed/>
    <w:rsid w:val="00704334"/>
    <w:rPr>
      <w:sz w:val="20"/>
    </w:rPr>
  </w:style>
  <w:style w:type="character" w:customStyle="1" w:styleId="EndnoteTextChar">
    <w:name w:val="Endnote Text Char"/>
    <w:basedOn w:val="DefaultParagraphFont"/>
    <w:link w:val="EndnoteText"/>
    <w:uiPriority w:val="99"/>
    <w:semiHidden/>
    <w:rsid w:val="00704334"/>
    <w:rPr>
      <w:sz w:val="20"/>
    </w:rPr>
  </w:style>
  <w:style w:type="character" w:styleId="EndnoteReference">
    <w:name w:val="endnote reference"/>
    <w:basedOn w:val="DefaultParagraphFont"/>
    <w:uiPriority w:val="99"/>
    <w:semiHidden/>
    <w:unhideWhenUsed/>
    <w:rsid w:val="00704334"/>
    <w:rPr>
      <w:vertAlign w:val="superscript"/>
    </w:rPr>
  </w:style>
  <w:style w:type="character" w:styleId="FollowedHyperlink">
    <w:name w:val="FollowedHyperlink"/>
    <w:basedOn w:val="DefaultParagraphFont"/>
    <w:uiPriority w:val="99"/>
    <w:semiHidden/>
    <w:unhideWhenUsed/>
    <w:rsid w:val="00CA313B"/>
    <w:rPr>
      <w:color w:val="800080" w:themeColor="followedHyperlink"/>
      <w:u w:val="single"/>
    </w:rPr>
  </w:style>
  <w:style w:type="character" w:styleId="UnresolvedMention">
    <w:name w:val="Unresolved Mention"/>
    <w:basedOn w:val="DefaultParagraphFont"/>
    <w:uiPriority w:val="99"/>
    <w:semiHidden/>
    <w:unhideWhenUsed/>
    <w:rsid w:val="00C87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045289">
      <w:bodyDiv w:val="1"/>
      <w:marLeft w:val="0"/>
      <w:marRight w:val="0"/>
      <w:marTop w:val="0"/>
      <w:marBottom w:val="0"/>
      <w:divBdr>
        <w:top w:val="none" w:sz="0" w:space="0" w:color="auto"/>
        <w:left w:val="none" w:sz="0" w:space="0" w:color="auto"/>
        <w:bottom w:val="none" w:sz="0" w:space="0" w:color="auto"/>
        <w:right w:val="none" w:sz="0" w:space="0" w:color="auto"/>
      </w:divBdr>
    </w:div>
    <w:div w:id="2057125047">
      <w:bodyDiv w:val="1"/>
      <w:marLeft w:val="0"/>
      <w:marRight w:val="0"/>
      <w:marTop w:val="0"/>
      <w:marBottom w:val="0"/>
      <w:divBdr>
        <w:top w:val="none" w:sz="0" w:space="0" w:color="auto"/>
        <w:left w:val="none" w:sz="0" w:space="0" w:color="auto"/>
        <w:bottom w:val="none" w:sz="0" w:space="0" w:color="auto"/>
        <w:right w:val="none" w:sz="0" w:space="0" w:color="auto"/>
      </w:divBdr>
    </w:div>
    <w:div w:id="21460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mailto:enquries@nhsdigital.nhs.uk" TargetMode="External"/><Relationship Id="rId26"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hyperlink" Target="https://ico.org.uk/for-organisations/guide-to-data-protection/privacy-notices-transparency-and-control/"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digital.nhs.uk/health-social-care-network" TargetMode="Externa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digital.nhs.uk/data-and-information/looking-after-information/data-security-and-information-governance/data-security-and-protection-toolkit" TargetMode="External"/><Relationship Id="rId20" Type="http://schemas.openxmlformats.org/officeDocument/2006/relationships/hyperlink" Target="https://digital.nhs.uk/binaries/content/assets/legacy/pdf/3/q/guidance_on_nhs_and_social_care_use_of_public_cloud_services1.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services/data-access-request-service-dars/data-access-request-service-dars-process/data-access-request-service-dars-guidance-notes-on-security" TargetMode="External"/><Relationship Id="rId24" Type="http://schemas.openxmlformats.org/officeDocument/2006/relationships/hyperlink" Target="https://ico.org.uk/for-organisations/guide-to-data-protection/privacy-notices-transparency-and-contro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review-of-data-security-consent-and-opt-outs" TargetMode="External"/><Relationship Id="rId23" Type="http://schemas.openxmlformats.org/officeDocument/2006/relationships/hyperlink" Target="mailto:enquries@nhsdigital.nhs.uk"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digital.nhs.uk/services/data-access-request-service-dars/data-access-request-service-dars-process/data-access-request-service-dars-guidance-notes-on-securit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Registration-Authorities-and-Smartcards" TargetMode="External"/><Relationship Id="rId22" Type="http://schemas.openxmlformats.org/officeDocument/2006/relationships/hyperlink" Target="http://content.digital.nhs.uk/IGARD"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9D068F2AF8E4F85100D91569A9686" ma:contentTypeVersion="0" ma:contentTypeDescription="Create a new document." ma:contentTypeScope="" ma:versionID="276b44925f76af0dcc45ec5d684e9a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5D220-5864-48EE-8B5B-CD1C1CCC09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84C4A0-49C0-4274-956A-0EC59CDCC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E7FC75-46C9-4242-8597-4BE808AF7211}">
  <ds:schemaRefs>
    <ds:schemaRef ds:uri="http://schemas.microsoft.com/sharepoint/v3/contenttype/forms"/>
  </ds:schemaRefs>
</ds:datastoreItem>
</file>

<file path=customXml/itemProps4.xml><?xml version="1.0" encoding="utf-8"?>
<ds:datastoreItem xmlns:ds="http://schemas.openxmlformats.org/officeDocument/2006/customXml" ds:itemID="{EC87256E-1581-4474-B3A8-5F233FC9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Ives</dc:creator>
  <cp:lastModifiedBy>Richard Ives</cp:lastModifiedBy>
  <cp:revision>5</cp:revision>
  <cp:lastPrinted>2017-06-14T12:01:00Z</cp:lastPrinted>
  <dcterms:created xsi:type="dcterms:W3CDTF">2018-07-25T10:55:00Z</dcterms:created>
  <dcterms:modified xsi:type="dcterms:W3CDTF">2018-07-25T11:27:00Z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0x01010028E9D068F2AF8E4F85100D91569A9686</vt:lpwstr>
  </property>
</Properties>
</file>